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E0" w:rsidRPr="001A4995" w:rsidRDefault="00FC6CE0" w:rsidP="00FC6CE0">
      <w:pPr>
        <w:pStyle w:val="7"/>
        <w:rPr>
          <w:sz w:val="25"/>
          <w:szCs w:val="25"/>
        </w:rPr>
      </w:pPr>
      <w:r w:rsidRPr="001A4995">
        <w:rPr>
          <w:sz w:val="25"/>
          <w:szCs w:val="25"/>
        </w:rPr>
        <w:t>Аналитический отчёт о состоянии конкурентной среды на розничных рынках автомобильных бензинов</w:t>
      </w:r>
    </w:p>
    <w:p w:rsidR="00156703" w:rsidRPr="001A4995" w:rsidRDefault="00156703">
      <w:pPr>
        <w:pStyle w:val="6"/>
        <w:jc w:val="center"/>
        <w:rPr>
          <w:b/>
          <w:bCs/>
          <w:sz w:val="25"/>
          <w:szCs w:val="25"/>
        </w:rPr>
      </w:pPr>
    </w:p>
    <w:p w:rsidR="00C6253B" w:rsidRPr="001A4995" w:rsidRDefault="00156703">
      <w:pPr>
        <w:pStyle w:val="6"/>
        <w:jc w:val="center"/>
        <w:rPr>
          <w:b/>
          <w:bCs/>
          <w:sz w:val="25"/>
          <w:szCs w:val="25"/>
          <w:u w:val="single"/>
        </w:rPr>
      </w:pPr>
      <w:r w:rsidRPr="001A4995">
        <w:rPr>
          <w:b/>
          <w:bCs/>
          <w:sz w:val="25"/>
          <w:szCs w:val="25"/>
          <w:u w:val="single"/>
        </w:rPr>
        <w:t>Общие положения</w:t>
      </w:r>
    </w:p>
    <w:p w:rsidR="00A21B95" w:rsidRPr="001A4995" w:rsidRDefault="00A21B95" w:rsidP="00A21B95">
      <w:pPr>
        <w:rPr>
          <w:sz w:val="25"/>
          <w:szCs w:val="25"/>
        </w:rPr>
      </w:pPr>
    </w:p>
    <w:p w:rsidR="0005330D" w:rsidRPr="001A4995" w:rsidRDefault="0005330D" w:rsidP="0005330D">
      <w:pPr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proofErr w:type="gramStart"/>
      <w:r w:rsidRPr="001A4995">
        <w:rPr>
          <w:sz w:val="25"/>
          <w:szCs w:val="25"/>
        </w:rPr>
        <w:t xml:space="preserve">Анализ состояния конкуренции на розничном рынке автомобильного бензина проведен во исполнение Приказа ФАС России от </w:t>
      </w:r>
      <w:r w:rsidR="00367CE8" w:rsidRPr="001A4995">
        <w:rPr>
          <w:sz w:val="25"/>
          <w:szCs w:val="25"/>
        </w:rPr>
        <w:t>29.12.2018</w:t>
      </w:r>
      <w:r w:rsidRPr="001A4995">
        <w:rPr>
          <w:sz w:val="25"/>
          <w:szCs w:val="25"/>
        </w:rPr>
        <w:t xml:space="preserve"> № </w:t>
      </w:r>
      <w:r w:rsidR="00367CE8" w:rsidRPr="001A4995">
        <w:rPr>
          <w:sz w:val="25"/>
          <w:szCs w:val="25"/>
        </w:rPr>
        <w:t>1929/18</w:t>
      </w:r>
      <w:r w:rsidRPr="001A4995">
        <w:rPr>
          <w:sz w:val="25"/>
          <w:szCs w:val="25"/>
        </w:rPr>
        <w:t xml:space="preserve"> «О плане работы ФАС России по анализу состояния конкур</w:t>
      </w:r>
      <w:r w:rsidR="00367CE8" w:rsidRPr="001A4995">
        <w:rPr>
          <w:sz w:val="25"/>
          <w:szCs w:val="25"/>
        </w:rPr>
        <w:t>енции на товарных рынках на 2019-2020</w:t>
      </w:r>
      <w:r w:rsidRPr="001A4995">
        <w:rPr>
          <w:sz w:val="25"/>
          <w:szCs w:val="25"/>
        </w:rPr>
        <w:t xml:space="preserve"> годы», в соответствии с Приказом ФАС России от 28.04.2010 № 220 «Об утверждении Порядка проведения анализа состояния конкуренции на товарном рынке».</w:t>
      </w:r>
      <w:proofErr w:type="gramEnd"/>
    </w:p>
    <w:p w:rsidR="0005330D" w:rsidRPr="001A4995" w:rsidRDefault="0005330D" w:rsidP="0005330D">
      <w:pPr>
        <w:ind w:firstLine="709"/>
        <w:jc w:val="both"/>
        <w:rPr>
          <w:sz w:val="25"/>
          <w:szCs w:val="25"/>
        </w:rPr>
      </w:pPr>
      <w:r w:rsidRPr="001A4995">
        <w:rPr>
          <w:sz w:val="25"/>
          <w:szCs w:val="25"/>
        </w:rPr>
        <w:t xml:space="preserve"> Целью проведения анализа конкуренции на розничных рынках автомобильных бензинов является установление доминирующего положения вертикально интегрированных нефтяных компаний (далее-ВИНК) на региональных рынках.</w:t>
      </w:r>
    </w:p>
    <w:p w:rsidR="0005330D" w:rsidRPr="001A4995" w:rsidRDefault="0005330D" w:rsidP="0005330D">
      <w:pPr>
        <w:ind w:firstLine="709"/>
        <w:jc w:val="both"/>
        <w:rPr>
          <w:sz w:val="25"/>
          <w:szCs w:val="25"/>
        </w:rPr>
      </w:pPr>
      <w:r w:rsidRPr="001A4995">
        <w:rPr>
          <w:sz w:val="25"/>
          <w:szCs w:val="25"/>
        </w:rPr>
        <w:t>Исследование состояния конкуренции на розничном рынке автомобильного бензина проведено в целях:</w:t>
      </w:r>
    </w:p>
    <w:p w:rsidR="0005330D" w:rsidRPr="001A4995" w:rsidRDefault="0005330D" w:rsidP="0005330D">
      <w:pPr>
        <w:ind w:firstLine="709"/>
        <w:jc w:val="both"/>
        <w:rPr>
          <w:sz w:val="25"/>
          <w:szCs w:val="25"/>
        </w:rPr>
      </w:pPr>
      <w:r w:rsidRPr="001A4995">
        <w:rPr>
          <w:sz w:val="25"/>
          <w:szCs w:val="25"/>
        </w:rPr>
        <w:t>- оценки состояния конкурентной среды в сфере розничной реализации нефтепродуктов на локальных рынках Ульяновской области;</w:t>
      </w:r>
    </w:p>
    <w:p w:rsidR="0005330D" w:rsidRPr="001A4995" w:rsidRDefault="0005330D" w:rsidP="0005330D">
      <w:pPr>
        <w:ind w:firstLine="709"/>
        <w:jc w:val="both"/>
        <w:rPr>
          <w:sz w:val="25"/>
          <w:szCs w:val="25"/>
        </w:rPr>
      </w:pPr>
      <w:r w:rsidRPr="001A4995">
        <w:rPr>
          <w:sz w:val="25"/>
          <w:szCs w:val="25"/>
        </w:rPr>
        <w:t>- выявления  локальных розничных рынков нефтепродуктов, на которых хозяйствующие субъекты занимают доминирующее положение согласно частям 1 и 3 статьи 5 Федерального закона от 26.07.2006 № 135-ФЗ «О защите конкуренции»;</w:t>
      </w:r>
    </w:p>
    <w:p w:rsidR="0005330D" w:rsidRDefault="0005330D" w:rsidP="0005330D">
      <w:pPr>
        <w:ind w:firstLine="709"/>
        <w:jc w:val="both"/>
        <w:rPr>
          <w:sz w:val="25"/>
          <w:szCs w:val="25"/>
        </w:rPr>
      </w:pPr>
      <w:proofErr w:type="gramStart"/>
      <w:r w:rsidRPr="001A4995">
        <w:rPr>
          <w:sz w:val="25"/>
          <w:szCs w:val="25"/>
        </w:rPr>
        <w:t xml:space="preserve">При исследовании локальных розничных рынков автомобильных бензинов использована информация, полученная </w:t>
      </w:r>
      <w:r w:rsidR="0055361B">
        <w:rPr>
          <w:sz w:val="25"/>
          <w:szCs w:val="25"/>
        </w:rPr>
        <w:t xml:space="preserve">от </w:t>
      </w:r>
      <w:r w:rsidR="0055361B" w:rsidRPr="00B839E2">
        <w:rPr>
          <w:szCs w:val="24"/>
        </w:rPr>
        <w:t>Территориального органа Федеральной службы государственной статистики по Ульяновской области</w:t>
      </w:r>
      <w:r w:rsidR="0055361B">
        <w:rPr>
          <w:szCs w:val="24"/>
        </w:rPr>
        <w:t>,</w:t>
      </w:r>
      <w:r w:rsidR="0055361B" w:rsidRPr="001A4995">
        <w:rPr>
          <w:sz w:val="25"/>
          <w:szCs w:val="25"/>
        </w:rPr>
        <w:t xml:space="preserve"> </w:t>
      </w:r>
      <w:r w:rsidRPr="001A4995">
        <w:rPr>
          <w:sz w:val="25"/>
          <w:szCs w:val="25"/>
        </w:rPr>
        <w:t>от хозяйствующих субъектов, осуществляющих розничную реализацию нефтепродуктов через  АЗС,  находящихся в собственности продавца, и через которые продавец осуществляет розничную реализацию нефтепродуктов, или право владения, пользования или распоряжения которыми передано продавцу иным хозя</w:t>
      </w:r>
      <w:r w:rsidR="0055361B">
        <w:rPr>
          <w:sz w:val="25"/>
          <w:szCs w:val="25"/>
        </w:rPr>
        <w:t>йствующим субъектом.</w:t>
      </w:r>
      <w:proofErr w:type="gramEnd"/>
    </w:p>
    <w:p w:rsidR="0055361B" w:rsidRPr="001A4995" w:rsidRDefault="0055361B" w:rsidP="0005330D">
      <w:pPr>
        <w:ind w:firstLine="709"/>
        <w:jc w:val="both"/>
        <w:rPr>
          <w:sz w:val="25"/>
          <w:szCs w:val="25"/>
          <w:u w:val="single"/>
        </w:rPr>
      </w:pPr>
    </w:p>
    <w:p w:rsidR="0005330D" w:rsidRPr="001A4995" w:rsidRDefault="0005330D" w:rsidP="00003809">
      <w:pPr>
        <w:ind w:firstLine="709"/>
        <w:rPr>
          <w:b/>
          <w:sz w:val="25"/>
          <w:szCs w:val="25"/>
          <w:u w:val="single"/>
        </w:rPr>
      </w:pPr>
      <w:r w:rsidRPr="001A4995">
        <w:rPr>
          <w:b/>
          <w:sz w:val="25"/>
          <w:szCs w:val="25"/>
          <w:u w:val="single"/>
        </w:rPr>
        <w:t>Определение временного интервала исследования товарного рынка</w:t>
      </w:r>
    </w:p>
    <w:p w:rsidR="0005330D" w:rsidRPr="001A4995" w:rsidRDefault="0005330D" w:rsidP="0005330D">
      <w:pPr>
        <w:jc w:val="both"/>
        <w:rPr>
          <w:sz w:val="25"/>
          <w:szCs w:val="25"/>
        </w:rPr>
      </w:pPr>
    </w:p>
    <w:p w:rsidR="0005330D" w:rsidRPr="001A4995" w:rsidRDefault="0005330D" w:rsidP="0005330D">
      <w:pPr>
        <w:ind w:firstLine="709"/>
        <w:jc w:val="both"/>
        <w:rPr>
          <w:sz w:val="25"/>
          <w:szCs w:val="25"/>
        </w:rPr>
      </w:pPr>
      <w:r w:rsidRPr="001A4995">
        <w:rPr>
          <w:sz w:val="25"/>
          <w:szCs w:val="25"/>
        </w:rPr>
        <w:t>Временной интервал исследования товарного рынка определяется в зависимости от цели исследования, особенностей товарного рынка и доступности информации. Для целей настоящего исследования необходимо изучение сложившихся характеристик рассматриваемого т</w:t>
      </w:r>
      <w:r w:rsidR="007B76A1" w:rsidRPr="001A4995">
        <w:rPr>
          <w:sz w:val="25"/>
          <w:szCs w:val="25"/>
        </w:rPr>
        <w:t xml:space="preserve">оварного рынка, соответственно </w:t>
      </w:r>
      <w:r w:rsidRPr="001A4995">
        <w:rPr>
          <w:sz w:val="25"/>
          <w:szCs w:val="25"/>
        </w:rPr>
        <w:t xml:space="preserve">проведен ретроспективный анализ состояния конкурентной среды на товарном рынке </w:t>
      </w:r>
    </w:p>
    <w:p w:rsidR="0005330D" w:rsidRPr="001A4995" w:rsidRDefault="0005330D" w:rsidP="0005330D">
      <w:pPr>
        <w:ind w:firstLine="709"/>
        <w:jc w:val="both"/>
        <w:rPr>
          <w:sz w:val="25"/>
          <w:szCs w:val="25"/>
        </w:rPr>
      </w:pPr>
      <w:r w:rsidRPr="001A4995">
        <w:rPr>
          <w:sz w:val="25"/>
          <w:szCs w:val="25"/>
        </w:rPr>
        <w:t>Временной интервал исследования локальных рынков розничной реализации автомобильных бензинов о</w:t>
      </w:r>
      <w:r w:rsidR="00F96B2E">
        <w:rPr>
          <w:sz w:val="25"/>
          <w:szCs w:val="25"/>
        </w:rPr>
        <w:t>пределен как период с 01.01.2019 по 31.12.2019</w:t>
      </w:r>
      <w:r w:rsidRPr="001A4995">
        <w:rPr>
          <w:sz w:val="25"/>
          <w:szCs w:val="25"/>
        </w:rPr>
        <w:t xml:space="preserve">. </w:t>
      </w:r>
      <w:r w:rsidR="00156703" w:rsidRPr="001A4995">
        <w:rPr>
          <w:sz w:val="25"/>
          <w:szCs w:val="25"/>
        </w:rPr>
        <w:t>Соответственно, все характеристики рассматриваемого товарного рынка определяются в пределах установленного временного интервала.</w:t>
      </w:r>
    </w:p>
    <w:p w:rsidR="0005330D" w:rsidRPr="001A4995" w:rsidRDefault="0005330D" w:rsidP="0005330D">
      <w:pPr>
        <w:ind w:firstLine="709"/>
        <w:jc w:val="both"/>
        <w:rPr>
          <w:sz w:val="25"/>
          <w:szCs w:val="25"/>
        </w:rPr>
      </w:pPr>
      <w:r w:rsidRPr="001A4995">
        <w:rPr>
          <w:sz w:val="25"/>
          <w:szCs w:val="25"/>
        </w:rPr>
        <w:t xml:space="preserve"> </w:t>
      </w:r>
    </w:p>
    <w:p w:rsidR="0005330D" w:rsidRPr="001A4995" w:rsidRDefault="0005330D" w:rsidP="00003809">
      <w:pPr>
        <w:pStyle w:val="8"/>
        <w:ind w:left="1069" w:firstLine="371"/>
        <w:rPr>
          <w:b/>
          <w:sz w:val="25"/>
          <w:szCs w:val="25"/>
        </w:rPr>
      </w:pPr>
      <w:r w:rsidRPr="001A4995">
        <w:rPr>
          <w:b/>
          <w:sz w:val="25"/>
          <w:szCs w:val="25"/>
        </w:rPr>
        <w:t>Определение продуктовых границ товарного рынка</w:t>
      </w:r>
    </w:p>
    <w:p w:rsidR="0005330D" w:rsidRPr="001A4995" w:rsidRDefault="0005330D" w:rsidP="0005330D">
      <w:pPr>
        <w:ind w:firstLine="709"/>
        <w:jc w:val="both"/>
        <w:rPr>
          <w:b/>
          <w:sz w:val="25"/>
          <w:szCs w:val="25"/>
          <w:u w:val="single"/>
        </w:rPr>
      </w:pPr>
    </w:p>
    <w:p w:rsidR="00FC3942" w:rsidRPr="001A4995" w:rsidRDefault="00FC3942" w:rsidP="00565C3A">
      <w:pPr>
        <w:pStyle w:val="a4"/>
        <w:ind w:left="120" w:right="-2" w:firstLine="589"/>
        <w:jc w:val="both"/>
        <w:rPr>
          <w:b w:val="0"/>
          <w:color w:val="000000"/>
          <w:sz w:val="25"/>
          <w:szCs w:val="25"/>
        </w:rPr>
      </w:pPr>
      <w:proofErr w:type="gramStart"/>
      <w:r w:rsidRPr="001A4995">
        <w:rPr>
          <w:b w:val="0"/>
          <w:color w:val="000000"/>
          <w:sz w:val="25"/>
          <w:szCs w:val="25"/>
        </w:rPr>
        <w:t>Согласно п.4 ст. 4 Закона о защите конкуренции товарный р</w:t>
      </w:r>
      <w:r w:rsidR="00DB29C0" w:rsidRPr="001A4995">
        <w:rPr>
          <w:b w:val="0"/>
          <w:color w:val="000000"/>
          <w:sz w:val="25"/>
          <w:szCs w:val="25"/>
        </w:rPr>
        <w:t>ынок – сфера обращения товара (</w:t>
      </w:r>
      <w:r w:rsidRPr="001A4995">
        <w:rPr>
          <w:b w:val="0"/>
          <w:color w:val="000000"/>
          <w:sz w:val="25"/>
          <w:szCs w:val="25"/>
        </w:rPr>
        <w:t xml:space="preserve">в том числе товара иностранного производства), который не может быть заменен другим товаром, или взаимозаменяемых товаров, </w:t>
      </w:r>
      <w:r w:rsidR="00954230" w:rsidRPr="001A4995">
        <w:rPr>
          <w:b w:val="0"/>
          <w:color w:val="000000"/>
          <w:sz w:val="25"/>
          <w:szCs w:val="25"/>
        </w:rPr>
        <w:t>в границах которой (</w:t>
      </w:r>
      <w:r w:rsidRPr="001A4995">
        <w:rPr>
          <w:b w:val="0"/>
          <w:color w:val="000000"/>
          <w:sz w:val="25"/>
          <w:szCs w:val="25"/>
        </w:rPr>
        <w:t>в том числе географических) исходя из экономической</w:t>
      </w:r>
      <w:r w:rsidR="00954230" w:rsidRPr="001A4995">
        <w:rPr>
          <w:b w:val="0"/>
          <w:color w:val="000000"/>
          <w:sz w:val="25"/>
          <w:szCs w:val="25"/>
        </w:rPr>
        <w:t>, технической</w:t>
      </w:r>
      <w:r w:rsidRPr="001A4995">
        <w:rPr>
          <w:b w:val="0"/>
          <w:color w:val="000000"/>
          <w:sz w:val="25"/>
          <w:szCs w:val="25"/>
        </w:rPr>
        <w:t xml:space="preserve"> или иной возможности либо целесообразности приоб</w:t>
      </w:r>
      <w:r w:rsidR="00954230" w:rsidRPr="001A4995">
        <w:rPr>
          <w:b w:val="0"/>
          <w:color w:val="000000"/>
          <w:sz w:val="25"/>
          <w:szCs w:val="25"/>
        </w:rPr>
        <w:t>ретатель может приобрести товар, и такая возможность либо целесообразность отсутствует за ее пределами.</w:t>
      </w:r>
      <w:proofErr w:type="gramEnd"/>
    </w:p>
    <w:p w:rsidR="00954230" w:rsidRPr="001A4995" w:rsidRDefault="00954230" w:rsidP="00565C3A">
      <w:pPr>
        <w:pStyle w:val="a4"/>
        <w:ind w:left="120" w:right="-2" w:firstLine="589"/>
        <w:jc w:val="both"/>
        <w:rPr>
          <w:b w:val="0"/>
          <w:color w:val="000000"/>
          <w:sz w:val="25"/>
          <w:szCs w:val="25"/>
        </w:rPr>
      </w:pPr>
      <w:r w:rsidRPr="001A4995">
        <w:rPr>
          <w:b w:val="0"/>
          <w:color w:val="000000"/>
          <w:sz w:val="25"/>
          <w:szCs w:val="25"/>
        </w:rPr>
        <w:t>Предварительное определение товара – автомобильные бензины.</w:t>
      </w:r>
    </w:p>
    <w:p w:rsidR="0005330D" w:rsidRPr="001A4995" w:rsidRDefault="0019605A" w:rsidP="00565C3A">
      <w:pPr>
        <w:pStyle w:val="a4"/>
        <w:ind w:left="120" w:right="-2" w:firstLine="589"/>
        <w:jc w:val="both"/>
        <w:rPr>
          <w:b w:val="0"/>
          <w:sz w:val="25"/>
          <w:szCs w:val="25"/>
        </w:rPr>
      </w:pPr>
      <w:r w:rsidRPr="001A4995">
        <w:rPr>
          <w:b w:val="0"/>
          <w:color w:val="000000"/>
          <w:sz w:val="25"/>
          <w:szCs w:val="25"/>
        </w:rPr>
        <w:lastRenderedPageBreak/>
        <w:t>Основным с</w:t>
      </w:r>
      <w:r w:rsidR="0005330D" w:rsidRPr="001A4995">
        <w:rPr>
          <w:b w:val="0"/>
          <w:color w:val="000000"/>
          <w:sz w:val="25"/>
          <w:szCs w:val="25"/>
        </w:rPr>
        <w:t xml:space="preserve">ырьем для получения автомобильных </w:t>
      </w:r>
      <w:r w:rsidR="00E52AC2" w:rsidRPr="001A4995">
        <w:rPr>
          <w:b w:val="0"/>
          <w:color w:val="000000"/>
          <w:sz w:val="25"/>
          <w:szCs w:val="25"/>
        </w:rPr>
        <w:t xml:space="preserve">бензинов </w:t>
      </w:r>
      <w:r w:rsidR="0005330D" w:rsidRPr="001A4995">
        <w:rPr>
          <w:b w:val="0"/>
          <w:color w:val="000000"/>
          <w:sz w:val="25"/>
          <w:szCs w:val="25"/>
        </w:rPr>
        <w:t xml:space="preserve">является нефть. Для получения из нефти различных автомобильных топлив применяют методы первичной и вторичной переработки. Первичная переработка нефти </w:t>
      </w:r>
      <w:r w:rsidR="0005330D" w:rsidRPr="001A4995">
        <w:rPr>
          <w:b w:val="0"/>
          <w:sz w:val="25"/>
          <w:szCs w:val="25"/>
        </w:rPr>
        <w:t xml:space="preserve">заключается в разделении ее на отдельные фракции, выкипающие в различных определенных температурных интервалах. При первичной перегонке получают бензиновую, </w:t>
      </w:r>
      <w:proofErr w:type="spellStart"/>
      <w:r w:rsidR="0005330D" w:rsidRPr="001A4995">
        <w:rPr>
          <w:b w:val="0"/>
          <w:sz w:val="25"/>
          <w:szCs w:val="25"/>
        </w:rPr>
        <w:t>лигроиновую</w:t>
      </w:r>
      <w:proofErr w:type="spellEnd"/>
      <w:r w:rsidR="0005330D" w:rsidRPr="001A4995">
        <w:rPr>
          <w:b w:val="0"/>
          <w:sz w:val="25"/>
          <w:szCs w:val="25"/>
        </w:rPr>
        <w:t xml:space="preserve">, керосиновую, соляровую фракции и мазут. Переработка нефти вторичными методами </w:t>
      </w:r>
      <w:proofErr w:type="gramStart"/>
      <w:r w:rsidR="0005330D" w:rsidRPr="001A4995">
        <w:rPr>
          <w:b w:val="0"/>
          <w:sz w:val="25"/>
          <w:szCs w:val="25"/>
        </w:rPr>
        <w:t>сопровождается изменением состава и строения ее различных соединений и позволяет</w:t>
      </w:r>
      <w:proofErr w:type="gramEnd"/>
      <w:r w:rsidR="0005330D" w:rsidRPr="001A4995">
        <w:rPr>
          <w:b w:val="0"/>
          <w:sz w:val="25"/>
          <w:szCs w:val="25"/>
        </w:rPr>
        <w:t xml:space="preserve"> придать топливу более совершенные физико-химические свойства, а, следовательно, и качество.</w:t>
      </w:r>
    </w:p>
    <w:p w:rsidR="001F261F" w:rsidRPr="001A4995" w:rsidRDefault="001F261F" w:rsidP="00565C3A">
      <w:pPr>
        <w:pStyle w:val="a4"/>
        <w:ind w:left="120" w:right="-2" w:firstLine="720"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>К основным свойствам бензинов автомобильных можно отнести: испаряемость и фракционный состав, химическую стабильность, антикоррозийные свойства, вязкость, теплоту сгорания и детонационную стойкость.</w:t>
      </w:r>
    </w:p>
    <w:p w:rsidR="001F261F" w:rsidRPr="001A4995" w:rsidRDefault="001F261F" w:rsidP="00565C3A">
      <w:pPr>
        <w:pStyle w:val="a4"/>
        <w:ind w:left="120" w:right="-2" w:firstLine="720"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>Показателем детонационной стойкости бензина, характеризующим его устойчивость к самовоспламенению в рабочей камере двигателя, сопровождаемому образованием ударных волн, является октановое число. Октановые числа бензинов для автомобильных двигателей, оснащенных карбюраторными двигателями, колеблются в пределах 66-98. Бензин с более высоким октановым числом применяется для двигателей с более высокой степенью сжатия.</w:t>
      </w:r>
    </w:p>
    <w:p w:rsidR="001F261F" w:rsidRPr="001A4995" w:rsidRDefault="001F261F" w:rsidP="00565C3A">
      <w:pPr>
        <w:pStyle w:val="a4"/>
        <w:spacing w:line="317" w:lineRule="exact"/>
        <w:ind w:left="120" w:right="-2" w:firstLine="720"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 xml:space="preserve">На сегодняшний день существуют два метода борьбы с детонацией - изменение углеводородного состава бензина и введение в состав топлива различных присадок-антидетонаторов. Применение присадок признается менее дорогим и более упрощенным способом. Признавая пользу, которую может принести применение присадок к топливам, необходимо учитывать, что они не предназначены для компенсации недостатков, связанных с низким качеством нефтепродуктов. Между тем, недобросовестные продавцы для повышения октанового числа бензина помимо официально допущенных к применению присадок используют также нафталин, спирт и ацетон, железосодержащие и </w:t>
      </w:r>
      <w:proofErr w:type="spellStart"/>
      <w:r w:rsidRPr="001A4995">
        <w:rPr>
          <w:b w:val="0"/>
          <w:sz w:val="25"/>
          <w:szCs w:val="25"/>
        </w:rPr>
        <w:t>марганцесодержащие</w:t>
      </w:r>
      <w:proofErr w:type="spellEnd"/>
      <w:r w:rsidRPr="001A4995">
        <w:rPr>
          <w:b w:val="0"/>
          <w:sz w:val="25"/>
          <w:szCs w:val="25"/>
        </w:rPr>
        <w:t xml:space="preserve"> присадки, </w:t>
      </w:r>
      <w:proofErr w:type="spellStart"/>
      <w:r w:rsidRPr="001A4995">
        <w:rPr>
          <w:b w:val="0"/>
          <w:sz w:val="25"/>
          <w:szCs w:val="25"/>
        </w:rPr>
        <w:t>метилтрибутиловый</w:t>
      </w:r>
      <w:proofErr w:type="spellEnd"/>
      <w:r w:rsidRPr="001A4995">
        <w:rPr>
          <w:b w:val="0"/>
          <w:sz w:val="25"/>
          <w:szCs w:val="25"/>
        </w:rPr>
        <w:t xml:space="preserve"> эфир, воду. При этом использование автомобильного бензина, незаконно изготовленного путем смешения различных марок нефтепродуктов или добавления присадок, запрещенных к использованию, наносит ущерб не только бюджетной системе Российской Федерации, но и техническому состоянию парка автотранспортных средств и экологии.</w:t>
      </w:r>
    </w:p>
    <w:p w:rsidR="00470544" w:rsidRPr="001A4995" w:rsidRDefault="00470544" w:rsidP="0047054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A4995">
        <w:rPr>
          <w:rFonts w:ascii="Times New Roman" w:hAnsi="Times New Roman" w:cs="Times New Roman"/>
          <w:sz w:val="25"/>
          <w:szCs w:val="25"/>
        </w:rPr>
        <w:t xml:space="preserve">Автомобильные бензины и дизельное топливо </w:t>
      </w:r>
      <w:proofErr w:type="gramStart"/>
      <w:r w:rsidRPr="001A4995">
        <w:rPr>
          <w:rFonts w:ascii="Times New Roman" w:hAnsi="Times New Roman" w:cs="Times New Roman"/>
          <w:sz w:val="25"/>
          <w:szCs w:val="25"/>
        </w:rPr>
        <w:t>сходны по функциональному назначению и предназначены</w:t>
      </w:r>
      <w:proofErr w:type="gramEnd"/>
      <w:r w:rsidRPr="001A4995">
        <w:rPr>
          <w:rFonts w:ascii="Times New Roman" w:hAnsi="Times New Roman" w:cs="Times New Roman"/>
          <w:sz w:val="25"/>
          <w:szCs w:val="25"/>
        </w:rPr>
        <w:t xml:space="preserve"> для использования в качестве моторного топлива для двигателей внутреннего сгорания (ДВС).</w:t>
      </w:r>
    </w:p>
    <w:p w:rsidR="00470544" w:rsidRPr="001A4995" w:rsidRDefault="00470544" w:rsidP="0047054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A4995">
        <w:rPr>
          <w:rFonts w:ascii="Times New Roman" w:hAnsi="Times New Roman" w:cs="Times New Roman"/>
          <w:sz w:val="25"/>
          <w:szCs w:val="25"/>
        </w:rPr>
        <w:t>Вместе с тем, бензиновые и дизельные двигатели имеют принципиальные и конструктивные различия, которые исключают использование дизельного топлива в качестве моторного топлива для бензинового двигателя, а также использование автомобильного бензина для дизельного двигателя Замена бензинового двигателя дизельным и наоборот технически сложна и дорога.</w:t>
      </w:r>
    </w:p>
    <w:p w:rsidR="00F301B3" w:rsidRPr="001A4995" w:rsidRDefault="00F301B3" w:rsidP="00F301B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A4995">
        <w:rPr>
          <w:rFonts w:ascii="Times New Roman" w:hAnsi="Times New Roman" w:cs="Times New Roman"/>
          <w:sz w:val="25"/>
          <w:szCs w:val="25"/>
        </w:rPr>
        <w:t>В соответствии с Общероссийским классификатором видов экономической деятельности</w:t>
      </w:r>
      <w:r w:rsidR="00D35198">
        <w:rPr>
          <w:rFonts w:ascii="Times New Roman" w:hAnsi="Times New Roman" w:cs="Times New Roman"/>
          <w:sz w:val="25"/>
          <w:szCs w:val="25"/>
        </w:rPr>
        <w:t xml:space="preserve"> (</w:t>
      </w:r>
      <w:proofErr w:type="gramStart"/>
      <w:r w:rsidR="00D35198">
        <w:rPr>
          <w:rFonts w:ascii="Times New Roman" w:hAnsi="Times New Roman" w:cs="Times New Roman"/>
          <w:sz w:val="25"/>
          <w:szCs w:val="25"/>
        </w:rPr>
        <w:t>ОК</w:t>
      </w:r>
      <w:proofErr w:type="gramEnd"/>
      <w:r w:rsidR="00D35198">
        <w:rPr>
          <w:rFonts w:ascii="Times New Roman" w:hAnsi="Times New Roman" w:cs="Times New Roman"/>
          <w:sz w:val="25"/>
          <w:szCs w:val="25"/>
        </w:rPr>
        <w:t xml:space="preserve"> 029-2014)</w:t>
      </w:r>
      <w:r w:rsidR="00F96B2E">
        <w:rPr>
          <w:rFonts w:ascii="Times New Roman" w:hAnsi="Times New Roman" w:cs="Times New Roman"/>
          <w:sz w:val="25"/>
          <w:szCs w:val="25"/>
        </w:rPr>
        <w:t xml:space="preserve">, </w:t>
      </w:r>
      <w:r w:rsidR="00F96B2E" w:rsidRPr="00F96B2E">
        <w:rPr>
          <w:rFonts w:ascii="Times New Roman" w:hAnsi="Times New Roman" w:cs="Times New Roman"/>
          <w:sz w:val="25"/>
          <w:szCs w:val="25"/>
        </w:rPr>
        <w:t>утв</w:t>
      </w:r>
      <w:r w:rsidR="00F96B2E">
        <w:rPr>
          <w:rFonts w:ascii="Times New Roman" w:hAnsi="Times New Roman" w:cs="Times New Roman"/>
          <w:sz w:val="25"/>
          <w:szCs w:val="25"/>
        </w:rPr>
        <w:t>ержденного</w:t>
      </w:r>
      <w:r w:rsidR="00F96B2E" w:rsidRPr="00F96B2E">
        <w:rPr>
          <w:rFonts w:ascii="Times New Roman" w:hAnsi="Times New Roman" w:cs="Times New Roman"/>
          <w:sz w:val="25"/>
          <w:szCs w:val="25"/>
        </w:rPr>
        <w:t xml:space="preserve"> Прика</w:t>
      </w:r>
      <w:r w:rsidR="00F96B2E">
        <w:rPr>
          <w:rFonts w:ascii="Times New Roman" w:hAnsi="Times New Roman" w:cs="Times New Roman"/>
          <w:sz w:val="25"/>
          <w:szCs w:val="25"/>
        </w:rPr>
        <w:t xml:space="preserve">зом </w:t>
      </w:r>
      <w:proofErr w:type="spellStart"/>
      <w:r w:rsidR="00F96B2E">
        <w:rPr>
          <w:rFonts w:ascii="Times New Roman" w:hAnsi="Times New Roman" w:cs="Times New Roman"/>
          <w:sz w:val="25"/>
          <w:szCs w:val="25"/>
        </w:rPr>
        <w:t>Росстандарта</w:t>
      </w:r>
      <w:proofErr w:type="spellEnd"/>
      <w:r w:rsidR="00F96B2E">
        <w:rPr>
          <w:rFonts w:ascii="Times New Roman" w:hAnsi="Times New Roman" w:cs="Times New Roman"/>
          <w:sz w:val="25"/>
          <w:szCs w:val="25"/>
        </w:rPr>
        <w:t xml:space="preserve"> от 31.01.2014 № 14-ст,</w:t>
      </w:r>
      <w:r w:rsidRPr="001A4995">
        <w:rPr>
          <w:rFonts w:ascii="Times New Roman" w:hAnsi="Times New Roman" w:cs="Times New Roman"/>
          <w:sz w:val="25"/>
          <w:szCs w:val="25"/>
        </w:rPr>
        <w:t xml:space="preserve"> розничная торговля автомобиль</w:t>
      </w:r>
      <w:r w:rsidR="00F96B2E">
        <w:rPr>
          <w:rFonts w:ascii="Times New Roman" w:hAnsi="Times New Roman" w:cs="Times New Roman"/>
          <w:sz w:val="25"/>
          <w:szCs w:val="25"/>
        </w:rPr>
        <w:t>ными бензинами классифицирована</w:t>
      </w:r>
      <w:r w:rsidRPr="001A4995">
        <w:rPr>
          <w:rFonts w:ascii="Times New Roman" w:hAnsi="Times New Roman" w:cs="Times New Roman"/>
          <w:sz w:val="25"/>
          <w:szCs w:val="25"/>
        </w:rPr>
        <w:t xml:space="preserve"> в группе </w:t>
      </w:r>
      <w:r w:rsidR="00F96B2E">
        <w:rPr>
          <w:rFonts w:ascii="Times New Roman" w:hAnsi="Times New Roman" w:cs="Times New Roman"/>
          <w:sz w:val="25"/>
          <w:szCs w:val="25"/>
        </w:rPr>
        <w:t>47.30.1</w:t>
      </w:r>
      <w:r w:rsidRPr="001A4995">
        <w:rPr>
          <w:rFonts w:ascii="Times New Roman" w:hAnsi="Times New Roman" w:cs="Times New Roman"/>
          <w:sz w:val="25"/>
          <w:szCs w:val="25"/>
        </w:rPr>
        <w:t xml:space="preserve"> </w:t>
      </w:r>
      <w:r w:rsidR="00F96B2E">
        <w:rPr>
          <w:rFonts w:ascii="Times New Roman" w:hAnsi="Times New Roman" w:cs="Times New Roman"/>
          <w:sz w:val="25"/>
          <w:szCs w:val="25"/>
        </w:rPr>
        <w:t>«Т</w:t>
      </w:r>
      <w:r w:rsidRPr="001A4995">
        <w:rPr>
          <w:rFonts w:ascii="Times New Roman" w:hAnsi="Times New Roman" w:cs="Times New Roman"/>
          <w:sz w:val="25"/>
          <w:szCs w:val="25"/>
        </w:rPr>
        <w:t xml:space="preserve">орговля </w:t>
      </w:r>
      <w:r w:rsidR="00F96B2E">
        <w:rPr>
          <w:rFonts w:ascii="Times New Roman" w:hAnsi="Times New Roman" w:cs="Times New Roman"/>
          <w:sz w:val="25"/>
          <w:szCs w:val="25"/>
        </w:rPr>
        <w:t>р</w:t>
      </w:r>
      <w:r w:rsidR="00F96B2E" w:rsidRPr="001A4995">
        <w:rPr>
          <w:rFonts w:ascii="Times New Roman" w:hAnsi="Times New Roman" w:cs="Times New Roman"/>
          <w:sz w:val="25"/>
          <w:szCs w:val="25"/>
        </w:rPr>
        <w:t xml:space="preserve">озничная </w:t>
      </w:r>
      <w:r w:rsidRPr="001A4995">
        <w:rPr>
          <w:rFonts w:ascii="Times New Roman" w:hAnsi="Times New Roman" w:cs="Times New Roman"/>
          <w:sz w:val="25"/>
          <w:szCs w:val="25"/>
        </w:rPr>
        <w:t>моторным топливом</w:t>
      </w:r>
      <w:r w:rsidR="00F96B2E">
        <w:rPr>
          <w:rFonts w:ascii="Times New Roman" w:hAnsi="Times New Roman" w:cs="Times New Roman"/>
          <w:sz w:val="25"/>
          <w:szCs w:val="25"/>
        </w:rPr>
        <w:t xml:space="preserve"> в специализированных магазинах»</w:t>
      </w:r>
      <w:r w:rsidRPr="001A4995">
        <w:rPr>
          <w:rFonts w:ascii="Times New Roman" w:hAnsi="Times New Roman" w:cs="Times New Roman"/>
          <w:sz w:val="25"/>
          <w:szCs w:val="25"/>
        </w:rPr>
        <w:t>.</w:t>
      </w:r>
    </w:p>
    <w:p w:rsidR="00E52AC2" w:rsidRPr="001A4995" w:rsidRDefault="00E52AC2" w:rsidP="00E52AC2">
      <w:pPr>
        <w:pStyle w:val="a4"/>
        <w:ind w:left="120" w:right="120" w:firstLine="589"/>
        <w:jc w:val="both"/>
        <w:rPr>
          <w:b w:val="0"/>
          <w:sz w:val="25"/>
          <w:szCs w:val="25"/>
        </w:rPr>
      </w:pPr>
      <w:r w:rsidRPr="001A4995">
        <w:rPr>
          <w:b w:val="0"/>
          <w:color w:val="000000"/>
          <w:sz w:val="25"/>
          <w:szCs w:val="25"/>
        </w:rPr>
        <w:t>Бензины предназначены для поршневых двигателей внутреннего сгорания с принудительным воспламенением (от искры).</w:t>
      </w:r>
      <w:r w:rsidR="00470544" w:rsidRPr="001A4995">
        <w:rPr>
          <w:b w:val="0"/>
          <w:color w:val="000000"/>
          <w:sz w:val="25"/>
          <w:szCs w:val="25"/>
        </w:rPr>
        <w:t xml:space="preserve"> Гост по автомобильным бензинам определяют область применения автомобильных бензинов как моторное топливо для бензиновых двигателей (ГОСТ </w:t>
      </w:r>
      <w:proofErr w:type="gramStart"/>
      <w:r w:rsidR="00470544" w:rsidRPr="001A4995">
        <w:rPr>
          <w:b w:val="0"/>
          <w:color w:val="000000"/>
          <w:sz w:val="25"/>
          <w:szCs w:val="25"/>
        </w:rPr>
        <w:t>Р</w:t>
      </w:r>
      <w:proofErr w:type="gramEnd"/>
      <w:r w:rsidR="00470544" w:rsidRPr="001A4995">
        <w:rPr>
          <w:b w:val="0"/>
          <w:color w:val="000000"/>
          <w:sz w:val="25"/>
          <w:szCs w:val="25"/>
        </w:rPr>
        <w:t xml:space="preserve"> 51866-2002: «Настоящий стандарт распространяется на неэтилированные бензины, предназначенные для использования в качестве </w:t>
      </w:r>
      <w:r w:rsidR="00470544" w:rsidRPr="001A4995">
        <w:rPr>
          <w:b w:val="0"/>
          <w:color w:val="000000"/>
          <w:sz w:val="25"/>
          <w:szCs w:val="25"/>
        </w:rPr>
        <w:lastRenderedPageBreak/>
        <w:t>моторного топлива на транспортных средствах с бензиновыми двигателями, сконструированными для работы на неэтилированном бензине».</w:t>
      </w:r>
    </w:p>
    <w:p w:rsidR="002B50E7" w:rsidRPr="001A4995" w:rsidRDefault="00E33A6A" w:rsidP="00233F54">
      <w:pPr>
        <w:pStyle w:val="a4"/>
        <w:spacing w:line="317" w:lineRule="exact"/>
        <w:ind w:left="120" w:right="120" w:firstLine="720"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 xml:space="preserve">В настоящее время </w:t>
      </w:r>
      <w:r w:rsidR="002B50E7" w:rsidRPr="001A4995">
        <w:rPr>
          <w:b w:val="0"/>
          <w:sz w:val="25"/>
          <w:szCs w:val="25"/>
        </w:rPr>
        <w:t xml:space="preserve">в Российской Федерации </w:t>
      </w:r>
      <w:proofErr w:type="gramStart"/>
      <w:r w:rsidR="002B50E7" w:rsidRPr="001A4995">
        <w:rPr>
          <w:b w:val="0"/>
          <w:sz w:val="25"/>
          <w:szCs w:val="25"/>
        </w:rPr>
        <w:t>производятся и реализуются</w:t>
      </w:r>
      <w:proofErr w:type="gramEnd"/>
      <w:r w:rsidR="002B50E7" w:rsidRPr="001A4995">
        <w:rPr>
          <w:b w:val="0"/>
          <w:sz w:val="25"/>
          <w:szCs w:val="25"/>
        </w:rPr>
        <w:t xml:space="preserve"> четыре основных вида автомобильных бензинов, </w:t>
      </w:r>
      <w:r w:rsidR="00470544" w:rsidRPr="001A4995">
        <w:rPr>
          <w:b w:val="0"/>
          <w:sz w:val="25"/>
          <w:szCs w:val="25"/>
        </w:rPr>
        <w:t>предназначенных для использования в качестве моторного топлива на транспортных средствах с бензиновыми двигателями:</w:t>
      </w:r>
      <w:r w:rsidRPr="001A4995">
        <w:rPr>
          <w:b w:val="0"/>
          <w:sz w:val="25"/>
          <w:szCs w:val="25"/>
        </w:rPr>
        <w:t xml:space="preserve"> А-76</w:t>
      </w:r>
      <w:r w:rsidR="00470544" w:rsidRPr="001A4995">
        <w:rPr>
          <w:b w:val="0"/>
          <w:sz w:val="25"/>
          <w:szCs w:val="25"/>
        </w:rPr>
        <w:t xml:space="preserve"> (ГОСТ 2084-77), </w:t>
      </w:r>
      <w:r w:rsidRPr="001A4995">
        <w:rPr>
          <w:b w:val="0"/>
          <w:sz w:val="25"/>
          <w:szCs w:val="25"/>
        </w:rPr>
        <w:t>А</w:t>
      </w:r>
      <w:r w:rsidR="002B50E7" w:rsidRPr="001A4995">
        <w:rPr>
          <w:b w:val="0"/>
          <w:sz w:val="25"/>
          <w:szCs w:val="25"/>
        </w:rPr>
        <w:t>И</w:t>
      </w:r>
      <w:r w:rsidRPr="001A4995">
        <w:rPr>
          <w:b w:val="0"/>
          <w:sz w:val="25"/>
          <w:szCs w:val="25"/>
        </w:rPr>
        <w:t>-</w:t>
      </w:r>
      <w:r w:rsidR="002B50E7" w:rsidRPr="001A4995">
        <w:rPr>
          <w:b w:val="0"/>
          <w:sz w:val="25"/>
          <w:szCs w:val="25"/>
        </w:rPr>
        <w:t xml:space="preserve">92 (ГОСТ 2084-77, ГОСТ Р51105-97, ТУ 38.001165-2003, ГОСТ 51313-99), АИ-95 (ГОСТ 2084-77, ГОСТ </w:t>
      </w:r>
      <w:proofErr w:type="gramStart"/>
      <w:r w:rsidR="002B50E7" w:rsidRPr="001A4995">
        <w:rPr>
          <w:b w:val="0"/>
          <w:sz w:val="25"/>
          <w:szCs w:val="25"/>
        </w:rPr>
        <w:t>Р</w:t>
      </w:r>
      <w:proofErr w:type="gramEnd"/>
      <w:r w:rsidR="002B50E7" w:rsidRPr="001A4995">
        <w:rPr>
          <w:b w:val="0"/>
          <w:sz w:val="25"/>
          <w:szCs w:val="25"/>
        </w:rPr>
        <w:t xml:space="preserve"> 51105-97, ГОСТ Р 51313-99)</w:t>
      </w:r>
      <w:r w:rsidRPr="001A4995">
        <w:rPr>
          <w:b w:val="0"/>
          <w:sz w:val="25"/>
          <w:szCs w:val="25"/>
        </w:rPr>
        <w:t>, А</w:t>
      </w:r>
      <w:r w:rsidR="002B50E7" w:rsidRPr="001A4995">
        <w:rPr>
          <w:b w:val="0"/>
          <w:sz w:val="25"/>
          <w:szCs w:val="25"/>
        </w:rPr>
        <w:t>И</w:t>
      </w:r>
      <w:r w:rsidRPr="001A4995">
        <w:rPr>
          <w:b w:val="0"/>
          <w:sz w:val="25"/>
          <w:szCs w:val="25"/>
        </w:rPr>
        <w:t>-9</w:t>
      </w:r>
      <w:r w:rsidR="002B50E7" w:rsidRPr="001A4995">
        <w:rPr>
          <w:b w:val="0"/>
          <w:sz w:val="25"/>
          <w:szCs w:val="25"/>
        </w:rPr>
        <w:t>8 (ГОСТ Р 51313-99).</w:t>
      </w:r>
    </w:p>
    <w:p w:rsidR="00BC79A6" w:rsidRPr="001A4995" w:rsidRDefault="00BC79A6" w:rsidP="00233F54">
      <w:pPr>
        <w:pStyle w:val="a4"/>
        <w:spacing w:line="317" w:lineRule="exact"/>
        <w:ind w:left="120" w:right="120" w:firstLine="720"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>Вместе с тем на товарных рынках представлены также бензины иных марок: Нормаль -</w:t>
      </w:r>
      <w:r w:rsidR="00DB29C0" w:rsidRPr="001A4995">
        <w:rPr>
          <w:b w:val="0"/>
          <w:sz w:val="25"/>
          <w:szCs w:val="25"/>
        </w:rPr>
        <w:t xml:space="preserve"> </w:t>
      </w:r>
      <w:r w:rsidRPr="001A4995">
        <w:rPr>
          <w:b w:val="0"/>
          <w:sz w:val="25"/>
          <w:szCs w:val="25"/>
        </w:rPr>
        <w:t>80 (Г</w:t>
      </w:r>
      <w:r w:rsidR="00DB29C0" w:rsidRPr="001A4995">
        <w:rPr>
          <w:b w:val="0"/>
          <w:sz w:val="25"/>
          <w:szCs w:val="25"/>
        </w:rPr>
        <w:t>ОСТ</w:t>
      </w:r>
      <w:r w:rsidRPr="001A4995">
        <w:rPr>
          <w:b w:val="0"/>
          <w:sz w:val="25"/>
          <w:szCs w:val="25"/>
        </w:rPr>
        <w:t xml:space="preserve"> </w:t>
      </w:r>
      <w:proofErr w:type="gramStart"/>
      <w:r w:rsidRPr="001A4995">
        <w:rPr>
          <w:b w:val="0"/>
          <w:sz w:val="25"/>
          <w:szCs w:val="25"/>
        </w:rPr>
        <w:t>Р</w:t>
      </w:r>
      <w:proofErr w:type="gramEnd"/>
      <w:r w:rsidRPr="001A4995">
        <w:rPr>
          <w:b w:val="0"/>
          <w:sz w:val="25"/>
          <w:szCs w:val="25"/>
        </w:rPr>
        <w:t xml:space="preserve"> 51105-97), АИ-80 (ТУ 38.001165-2003), Регуляр-91 (Г</w:t>
      </w:r>
      <w:r w:rsidR="00DB29C0" w:rsidRPr="001A4995">
        <w:rPr>
          <w:b w:val="0"/>
          <w:sz w:val="25"/>
          <w:szCs w:val="25"/>
        </w:rPr>
        <w:t>ОСТ</w:t>
      </w:r>
      <w:r w:rsidRPr="001A4995">
        <w:rPr>
          <w:b w:val="0"/>
          <w:sz w:val="25"/>
          <w:szCs w:val="25"/>
        </w:rPr>
        <w:t xml:space="preserve"> Р 51105-97), Премиум-95 (Г</w:t>
      </w:r>
      <w:r w:rsidR="00DB29C0" w:rsidRPr="001A4995">
        <w:rPr>
          <w:b w:val="0"/>
          <w:sz w:val="25"/>
          <w:szCs w:val="25"/>
        </w:rPr>
        <w:t>ОСТ</w:t>
      </w:r>
      <w:r w:rsidRPr="001A4995">
        <w:rPr>
          <w:b w:val="0"/>
          <w:sz w:val="25"/>
          <w:szCs w:val="25"/>
        </w:rPr>
        <w:t xml:space="preserve"> Р 51105-97), АИ-96 (ТУ 38.001165-2003), Супер-98 (ГОСТ Р 51105-97), Премиум Евро-95 и Супер Евро-98 (ГОСТ Р 518866-2002), </w:t>
      </w:r>
      <w:proofErr w:type="spellStart"/>
      <w:r w:rsidRPr="001A4995">
        <w:rPr>
          <w:b w:val="0"/>
          <w:sz w:val="25"/>
          <w:szCs w:val="25"/>
        </w:rPr>
        <w:t>Регуляр</w:t>
      </w:r>
      <w:proofErr w:type="spellEnd"/>
      <w:r w:rsidRPr="001A4995">
        <w:rPr>
          <w:b w:val="0"/>
          <w:sz w:val="25"/>
          <w:szCs w:val="25"/>
        </w:rPr>
        <w:t xml:space="preserve"> </w:t>
      </w:r>
      <w:r w:rsidR="00DB29C0" w:rsidRPr="001A4995">
        <w:rPr>
          <w:b w:val="0"/>
          <w:sz w:val="25"/>
          <w:szCs w:val="25"/>
        </w:rPr>
        <w:t xml:space="preserve">Евро </w:t>
      </w:r>
      <w:r w:rsidRPr="001A4995">
        <w:rPr>
          <w:b w:val="0"/>
          <w:sz w:val="25"/>
          <w:szCs w:val="25"/>
        </w:rPr>
        <w:t>-</w:t>
      </w:r>
      <w:r w:rsidR="00DB29C0" w:rsidRPr="001A4995">
        <w:rPr>
          <w:b w:val="0"/>
          <w:sz w:val="25"/>
          <w:szCs w:val="25"/>
        </w:rPr>
        <w:t xml:space="preserve"> </w:t>
      </w:r>
      <w:r w:rsidRPr="001A4995">
        <w:rPr>
          <w:b w:val="0"/>
          <w:sz w:val="25"/>
          <w:szCs w:val="25"/>
        </w:rPr>
        <w:t>92 (ГОСТ Р 51866-2002) и другие.</w:t>
      </w:r>
    </w:p>
    <w:p w:rsidR="00DD151F" w:rsidRPr="001A4995" w:rsidRDefault="00BC79A6" w:rsidP="00233F54">
      <w:pPr>
        <w:pStyle w:val="a4"/>
        <w:spacing w:line="317" w:lineRule="exact"/>
        <w:ind w:left="120" w:right="120" w:firstLine="720"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>Спецификация топлива</w:t>
      </w:r>
      <w:r w:rsidR="00E33A6A" w:rsidRPr="001A4995">
        <w:rPr>
          <w:b w:val="0"/>
          <w:sz w:val="25"/>
          <w:szCs w:val="25"/>
        </w:rPr>
        <w:t>,</w:t>
      </w:r>
      <w:r w:rsidRPr="001A4995">
        <w:rPr>
          <w:b w:val="0"/>
          <w:sz w:val="25"/>
          <w:szCs w:val="25"/>
        </w:rPr>
        <w:t xml:space="preserve"> которое допустимо применять в конкретных бензиновых двигателях, определяется производителем двигателей. В</w:t>
      </w:r>
      <w:r w:rsidR="00DD151F" w:rsidRPr="001A4995">
        <w:rPr>
          <w:b w:val="0"/>
          <w:sz w:val="25"/>
          <w:szCs w:val="25"/>
        </w:rPr>
        <w:t xml:space="preserve"> технических паспортах (</w:t>
      </w:r>
      <w:r w:rsidRPr="001A4995">
        <w:rPr>
          <w:b w:val="0"/>
          <w:sz w:val="25"/>
          <w:szCs w:val="25"/>
        </w:rPr>
        <w:t>инструкциях по эксплуатации) автомобилей при</w:t>
      </w:r>
      <w:r w:rsidR="00DD151F" w:rsidRPr="001A4995">
        <w:rPr>
          <w:b w:val="0"/>
          <w:sz w:val="25"/>
          <w:szCs w:val="25"/>
        </w:rPr>
        <w:t>в</w:t>
      </w:r>
      <w:r w:rsidRPr="001A4995">
        <w:rPr>
          <w:b w:val="0"/>
          <w:sz w:val="25"/>
          <w:szCs w:val="25"/>
        </w:rPr>
        <w:t xml:space="preserve">одятся физико-химические эксплуатационные показателя бензинов, </w:t>
      </w:r>
      <w:proofErr w:type="gramStart"/>
      <w:r w:rsidRPr="001A4995">
        <w:rPr>
          <w:b w:val="0"/>
          <w:sz w:val="25"/>
          <w:szCs w:val="25"/>
        </w:rPr>
        <w:t>исходя из которых пользователь ав</w:t>
      </w:r>
      <w:r w:rsidR="00DD151F" w:rsidRPr="001A4995">
        <w:rPr>
          <w:b w:val="0"/>
          <w:sz w:val="25"/>
          <w:szCs w:val="25"/>
        </w:rPr>
        <w:t>томобиля определяет</w:t>
      </w:r>
      <w:proofErr w:type="gramEnd"/>
      <w:r w:rsidR="00DD151F" w:rsidRPr="001A4995">
        <w:rPr>
          <w:b w:val="0"/>
          <w:sz w:val="25"/>
          <w:szCs w:val="25"/>
        </w:rPr>
        <w:t xml:space="preserve"> соответствующ</w:t>
      </w:r>
      <w:r w:rsidRPr="001A4995">
        <w:rPr>
          <w:b w:val="0"/>
          <w:sz w:val="25"/>
          <w:szCs w:val="25"/>
        </w:rPr>
        <w:t>ую марку бензина для использования в качестве моторного топлива.</w:t>
      </w:r>
    </w:p>
    <w:p w:rsidR="00DD151F" w:rsidRPr="001A4995" w:rsidRDefault="00DD151F" w:rsidP="00233F54">
      <w:pPr>
        <w:pStyle w:val="a4"/>
        <w:spacing w:line="317" w:lineRule="exact"/>
        <w:ind w:left="120" w:right="120" w:firstLine="720"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 xml:space="preserve">На практике единственным существенным показателем, классифицирующим автомобильные бензины, является октановое число моторного топлива. По октановому числу автомобильные бензины разделяются на две подгруппы, что является существенным различием: </w:t>
      </w:r>
    </w:p>
    <w:p w:rsidR="00DD151F" w:rsidRPr="001A4995" w:rsidRDefault="00DD151F" w:rsidP="00233F54">
      <w:pPr>
        <w:pStyle w:val="a4"/>
        <w:spacing w:line="317" w:lineRule="exact"/>
        <w:ind w:left="120" w:right="120" w:firstLine="720"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>-низкооктановые бензины – А-76, АИ-80, Нормаль-80 (октановое число 76,0 по моторному методу и 80,0 по исследовательскому методу);</w:t>
      </w:r>
    </w:p>
    <w:p w:rsidR="00DD151F" w:rsidRPr="001A4995" w:rsidRDefault="00DD151F" w:rsidP="00233F54">
      <w:pPr>
        <w:pStyle w:val="a4"/>
        <w:spacing w:line="317" w:lineRule="exact"/>
        <w:ind w:left="120" w:right="120" w:firstLine="720"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 xml:space="preserve">-высокооктановые бензины – </w:t>
      </w:r>
      <w:proofErr w:type="spellStart"/>
      <w:r w:rsidRPr="001A4995">
        <w:rPr>
          <w:b w:val="0"/>
          <w:sz w:val="25"/>
          <w:szCs w:val="25"/>
        </w:rPr>
        <w:t>Регуляр</w:t>
      </w:r>
      <w:proofErr w:type="spellEnd"/>
      <w:r w:rsidRPr="001A4995">
        <w:rPr>
          <w:b w:val="0"/>
          <w:sz w:val="25"/>
          <w:szCs w:val="25"/>
        </w:rPr>
        <w:t xml:space="preserve"> -91, АИ-92, АИ-96, Супер-98, Премиум Евро-95, Супер Евро-98, </w:t>
      </w:r>
      <w:proofErr w:type="spellStart"/>
      <w:r w:rsidRPr="001A4995">
        <w:rPr>
          <w:b w:val="0"/>
          <w:sz w:val="25"/>
          <w:szCs w:val="25"/>
        </w:rPr>
        <w:t>Регуляр</w:t>
      </w:r>
      <w:proofErr w:type="spellEnd"/>
      <w:r w:rsidRPr="001A4995">
        <w:rPr>
          <w:b w:val="0"/>
          <w:sz w:val="25"/>
          <w:szCs w:val="25"/>
        </w:rPr>
        <w:t xml:space="preserve"> Евро -</w:t>
      </w:r>
      <w:r w:rsidR="00DB29C0" w:rsidRPr="001A4995">
        <w:rPr>
          <w:b w:val="0"/>
          <w:sz w:val="25"/>
          <w:szCs w:val="25"/>
        </w:rPr>
        <w:t xml:space="preserve"> </w:t>
      </w:r>
      <w:r w:rsidRPr="001A4995">
        <w:rPr>
          <w:b w:val="0"/>
          <w:sz w:val="25"/>
          <w:szCs w:val="25"/>
        </w:rPr>
        <w:t>92 и другие (октановое число 82,5 по моторному методу, 91-98 по исследовательскому методу).</w:t>
      </w:r>
    </w:p>
    <w:p w:rsidR="00C454B4" w:rsidRPr="001A4995" w:rsidRDefault="00C454B4" w:rsidP="00233F54">
      <w:pPr>
        <w:pStyle w:val="a4"/>
        <w:spacing w:line="317" w:lineRule="exact"/>
        <w:ind w:left="120" w:right="120" w:firstLine="720"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>Установлено, что марки бензина А-76 и А-80 являются взаимозаменяемыми, но не выступают таковыми для марок бензина с октановым числом равным или выше 92, то есть Аи-92, Аи-95, Аи-96. Также, с точки зрения потребителя, бензины марок Аи-92 и Аи-95, 98 составляют разные товарные группы.</w:t>
      </w:r>
    </w:p>
    <w:p w:rsidR="00C454B4" w:rsidRPr="001A4995" w:rsidRDefault="00C454B4" w:rsidP="00233F54">
      <w:pPr>
        <w:pStyle w:val="a4"/>
        <w:spacing w:line="317" w:lineRule="exact"/>
        <w:ind w:left="120" w:right="120" w:firstLine="720"/>
        <w:jc w:val="both"/>
        <w:rPr>
          <w:b w:val="0"/>
          <w:sz w:val="25"/>
          <w:szCs w:val="25"/>
        </w:rPr>
      </w:pPr>
      <w:proofErr w:type="spellStart"/>
      <w:r w:rsidRPr="001A4995">
        <w:rPr>
          <w:b w:val="0"/>
          <w:sz w:val="25"/>
          <w:szCs w:val="25"/>
        </w:rPr>
        <w:t>Брендированные</w:t>
      </w:r>
      <w:proofErr w:type="spellEnd"/>
      <w:r w:rsidRPr="001A4995">
        <w:rPr>
          <w:b w:val="0"/>
          <w:sz w:val="25"/>
          <w:szCs w:val="25"/>
        </w:rPr>
        <w:t xml:space="preserve"> автомобильные бензины различных наименований (например, </w:t>
      </w:r>
      <w:r w:rsidRPr="001A4995">
        <w:rPr>
          <w:b w:val="0"/>
          <w:sz w:val="25"/>
          <w:szCs w:val="25"/>
          <w:lang w:val="en-US" w:eastAsia="en-US"/>
        </w:rPr>
        <w:t>Ultimate</w:t>
      </w:r>
      <w:r w:rsidRPr="001A4995">
        <w:rPr>
          <w:b w:val="0"/>
          <w:sz w:val="25"/>
          <w:szCs w:val="25"/>
          <w:lang w:eastAsia="en-US"/>
        </w:rPr>
        <w:t xml:space="preserve">, </w:t>
      </w:r>
      <w:proofErr w:type="spellStart"/>
      <w:r w:rsidRPr="001A4995">
        <w:rPr>
          <w:b w:val="0"/>
          <w:sz w:val="25"/>
          <w:szCs w:val="25"/>
        </w:rPr>
        <w:t>Экто</w:t>
      </w:r>
      <w:proofErr w:type="spellEnd"/>
      <w:r w:rsidRPr="001A4995">
        <w:rPr>
          <w:b w:val="0"/>
          <w:sz w:val="25"/>
          <w:szCs w:val="25"/>
        </w:rPr>
        <w:t xml:space="preserve">, </w:t>
      </w:r>
      <w:r w:rsidRPr="001A4995">
        <w:rPr>
          <w:b w:val="0"/>
          <w:sz w:val="25"/>
          <w:szCs w:val="25"/>
          <w:lang w:val="en-US" w:eastAsia="en-US"/>
        </w:rPr>
        <w:t>Pulsar</w:t>
      </w:r>
      <w:r w:rsidRPr="001A4995">
        <w:rPr>
          <w:b w:val="0"/>
          <w:sz w:val="25"/>
          <w:szCs w:val="25"/>
          <w:lang w:eastAsia="en-US"/>
        </w:rPr>
        <w:t xml:space="preserve">) </w:t>
      </w:r>
      <w:r w:rsidRPr="001A4995">
        <w:rPr>
          <w:b w:val="0"/>
          <w:sz w:val="25"/>
          <w:szCs w:val="25"/>
        </w:rPr>
        <w:t>в пределах одного октанового</w:t>
      </w:r>
      <w:r w:rsidRPr="001A4995">
        <w:rPr>
          <w:rStyle w:val="13pt"/>
          <w:b w:val="0"/>
          <w:sz w:val="25"/>
          <w:szCs w:val="25"/>
        </w:rPr>
        <w:t xml:space="preserve"> числа</w:t>
      </w:r>
      <w:r w:rsidRPr="001A4995">
        <w:rPr>
          <w:b w:val="0"/>
          <w:sz w:val="25"/>
          <w:szCs w:val="25"/>
        </w:rPr>
        <w:t xml:space="preserve"> следует рассматривать как одну товарную группу, так как данные виды нефтепродуктов </w:t>
      </w:r>
      <w:proofErr w:type="gramStart"/>
      <w:r w:rsidRPr="001A4995">
        <w:rPr>
          <w:b w:val="0"/>
          <w:sz w:val="25"/>
          <w:szCs w:val="25"/>
        </w:rPr>
        <w:t>взаимозаменяемы по потребительским свойствам с бензинами с аналогичным октановым числом и при этом разница в цене не превышает</w:t>
      </w:r>
      <w:proofErr w:type="gramEnd"/>
      <w:r w:rsidRPr="001A4995">
        <w:rPr>
          <w:b w:val="0"/>
          <w:sz w:val="25"/>
          <w:szCs w:val="25"/>
        </w:rPr>
        <w:t xml:space="preserve"> 10%.</w:t>
      </w:r>
    </w:p>
    <w:p w:rsidR="00C454B4" w:rsidRPr="001A4995" w:rsidRDefault="00707DE7" w:rsidP="00233F54">
      <w:pPr>
        <w:pStyle w:val="a4"/>
        <w:spacing w:line="317" w:lineRule="exact"/>
        <w:ind w:left="120" w:right="120" w:firstLine="720"/>
        <w:jc w:val="both"/>
        <w:rPr>
          <w:b w:val="0"/>
          <w:sz w:val="25"/>
          <w:szCs w:val="25"/>
        </w:rPr>
      </w:pPr>
      <w:proofErr w:type="gramStart"/>
      <w:r w:rsidRPr="001A4995">
        <w:rPr>
          <w:b w:val="0"/>
          <w:sz w:val="25"/>
          <w:szCs w:val="25"/>
        </w:rPr>
        <w:t xml:space="preserve">Исходя из </w:t>
      </w:r>
      <w:r w:rsidR="00950454" w:rsidRPr="001A4995">
        <w:rPr>
          <w:b w:val="0"/>
          <w:sz w:val="25"/>
          <w:szCs w:val="25"/>
        </w:rPr>
        <w:t>специфики розничного потребления автомобильных бензинов (не взаимозаменяе</w:t>
      </w:r>
      <w:r w:rsidR="00C454B4" w:rsidRPr="001A4995">
        <w:rPr>
          <w:b w:val="0"/>
          <w:sz w:val="25"/>
          <w:szCs w:val="25"/>
        </w:rPr>
        <w:t>м</w:t>
      </w:r>
      <w:r w:rsidR="00950454" w:rsidRPr="001A4995">
        <w:rPr>
          <w:b w:val="0"/>
          <w:sz w:val="25"/>
          <w:szCs w:val="25"/>
        </w:rPr>
        <w:t>ость марки автомобильного бензина при потреблении в сторону снижения октанового числа, так как использование моторного топлива с октановым числом ниже заявленного в техническом паспорте (инструкции по эксплуатации) автомобиля, ведет к несвоевременному сгоранию топлива, снижению мощности, износу двигателя и другим негативным последствиям для владельца автотранспорт</w:t>
      </w:r>
      <w:r w:rsidR="00C454B4" w:rsidRPr="001A4995">
        <w:rPr>
          <w:b w:val="0"/>
          <w:sz w:val="25"/>
          <w:szCs w:val="25"/>
        </w:rPr>
        <w:t>н</w:t>
      </w:r>
      <w:r w:rsidR="00950454" w:rsidRPr="001A4995">
        <w:rPr>
          <w:b w:val="0"/>
          <w:sz w:val="25"/>
          <w:szCs w:val="25"/>
        </w:rPr>
        <w:t xml:space="preserve">ого средства) продуктовые границы данных товаров </w:t>
      </w:r>
      <w:r w:rsidR="00C454B4" w:rsidRPr="001A4995">
        <w:rPr>
          <w:b w:val="0"/>
          <w:sz w:val="25"/>
          <w:szCs w:val="25"/>
        </w:rPr>
        <w:t>рассматриваются по маркам</w:t>
      </w:r>
      <w:proofErr w:type="gramEnd"/>
      <w:r w:rsidR="00C454B4" w:rsidRPr="001A4995">
        <w:rPr>
          <w:b w:val="0"/>
          <w:sz w:val="25"/>
          <w:szCs w:val="25"/>
        </w:rPr>
        <w:t xml:space="preserve"> автомобильных бензинов.</w:t>
      </w:r>
    </w:p>
    <w:p w:rsidR="00233F54" w:rsidRPr="001A4995" w:rsidRDefault="00707DE7" w:rsidP="00C454B4">
      <w:pPr>
        <w:pStyle w:val="a4"/>
        <w:spacing w:line="317" w:lineRule="exact"/>
        <w:ind w:left="120" w:right="120" w:firstLine="720"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lastRenderedPageBreak/>
        <w:t xml:space="preserve"> </w:t>
      </w:r>
      <w:r w:rsidR="00DC7B67" w:rsidRPr="001A4995">
        <w:rPr>
          <w:b w:val="0"/>
          <w:sz w:val="25"/>
          <w:szCs w:val="25"/>
        </w:rPr>
        <w:t>Та</w:t>
      </w:r>
      <w:r w:rsidR="00233F54" w:rsidRPr="001A4995">
        <w:rPr>
          <w:b w:val="0"/>
          <w:sz w:val="25"/>
          <w:szCs w:val="25"/>
        </w:rPr>
        <w:t>к</w:t>
      </w:r>
      <w:r w:rsidR="00DC7B67" w:rsidRPr="001A4995">
        <w:rPr>
          <w:b w:val="0"/>
          <w:sz w:val="25"/>
          <w:szCs w:val="25"/>
        </w:rPr>
        <w:t>и</w:t>
      </w:r>
      <w:r w:rsidR="00233F54" w:rsidRPr="001A4995">
        <w:rPr>
          <w:b w:val="0"/>
          <w:sz w:val="25"/>
          <w:szCs w:val="25"/>
        </w:rPr>
        <w:t>м образом, с точки зрения потребительского спроса можно выделить следующие товарные группы по автомобильным бензинам (рынки):</w:t>
      </w:r>
    </w:p>
    <w:p w:rsidR="00EF6FC1" w:rsidRPr="00D62730" w:rsidRDefault="00EF6FC1" w:rsidP="00C454B4">
      <w:pPr>
        <w:pStyle w:val="a4"/>
        <w:spacing w:line="317" w:lineRule="exact"/>
        <w:ind w:left="120" w:right="120" w:firstLine="720"/>
        <w:jc w:val="both"/>
        <w:rPr>
          <w:b w:val="0"/>
          <w:sz w:val="26"/>
          <w:szCs w:val="26"/>
        </w:rPr>
      </w:pPr>
    </w:p>
    <w:tbl>
      <w:tblPr>
        <w:tblW w:w="97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126"/>
        <w:gridCol w:w="3114"/>
        <w:gridCol w:w="2515"/>
      </w:tblGrid>
      <w:tr w:rsidR="000B6738" w:rsidRPr="001A4995" w:rsidTr="001A4995">
        <w:trPr>
          <w:trHeight w:val="5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  <w:r w:rsidRPr="001A4995">
              <w:rPr>
                <w:sz w:val="22"/>
                <w:szCs w:val="22"/>
              </w:rPr>
              <w:t>Группа товаров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  <w:r w:rsidRPr="001A4995">
              <w:rPr>
                <w:sz w:val="22"/>
                <w:szCs w:val="22"/>
              </w:rPr>
              <w:t>Подгруппа</w:t>
            </w:r>
            <w:r w:rsidR="00707DE7" w:rsidRPr="001A4995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  <w:r w:rsidRPr="001A4995">
              <w:rPr>
                <w:sz w:val="22"/>
                <w:szCs w:val="22"/>
              </w:rPr>
              <w:t>О</w:t>
            </w:r>
            <w:r w:rsidR="00707DE7" w:rsidRPr="001A4995">
              <w:rPr>
                <w:sz w:val="22"/>
                <w:szCs w:val="22"/>
              </w:rPr>
              <w:t>ктановое число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  <w:r w:rsidRPr="001A4995">
              <w:rPr>
                <w:sz w:val="22"/>
                <w:szCs w:val="22"/>
              </w:rPr>
              <w:t>Товары (</w:t>
            </w:r>
            <w:r w:rsidR="00707DE7" w:rsidRPr="001A4995">
              <w:rPr>
                <w:sz w:val="22"/>
                <w:szCs w:val="22"/>
              </w:rPr>
              <w:t>марки</w:t>
            </w:r>
            <w:r w:rsidRPr="001A4995">
              <w:rPr>
                <w:sz w:val="22"/>
                <w:szCs w:val="22"/>
              </w:rPr>
              <w:t>)</w:t>
            </w:r>
          </w:p>
        </w:tc>
      </w:tr>
      <w:tr w:rsidR="000B6738" w:rsidRPr="001A4995" w:rsidTr="001A4995">
        <w:trPr>
          <w:trHeight w:val="10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</w:p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</w:p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  <w:r w:rsidRPr="001A4995">
              <w:rPr>
                <w:sz w:val="22"/>
                <w:szCs w:val="22"/>
              </w:rPr>
              <w:t>Автомобильные</w:t>
            </w:r>
          </w:p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  <w:r w:rsidRPr="001A4995">
              <w:rPr>
                <w:sz w:val="22"/>
                <w:szCs w:val="22"/>
              </w:rPr>
              <w:t>бензины</w:t>
            </w:r>
          </w:p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  <w:r w:rsidRPr="001A4995">
              <w:rPr>
                <w:sz w:val="22"/>
                <w:szCs w:val="22"/>
              </w:rPr>
              <w:t>(ОКП 02</w:t>
            </w:r>
            <w:r w:rsidR="00707DE7" w:rsidRPr="001A4995">
              <w:rPr>
                <w:sz w:val="22"/>
                <w:szCs w:val="22"/>
              </w:rPr>
              <w:t xml:space="preserve"> </w:t>
            </w:r>
            <w:r w:rsidRPr="001A4995">
              <w:rPr>
                <w:sz w:val="22"/>
                <w:szCs w:val="22"/>
              </w:rPr>
              <w:t>5110)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</w:p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</w:p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  <w:r w:rsidRPr="001A4995">
              <w:rPr>
                <w:sz w:val="22"/>
                <w:szCs w:val="22"/>
              </w:rPr>
              <w:t>низкооктановые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  <w:r w:rsidRPr="001A4995">
              <w:rPr>
                <w:sz w:val="22"/>
                <w:szCs w:val="22"/>
              </w:rPr>
              <w:t>76</w:t>
            </w:r>
            <w:r w:rsidR="00707DE7" w:rsidRPr="001A4995">
              <w:rPr>
                <w:sz w:val="22"/>
                <w:szCs w:val="22"/>
              </w:rPr>
              <w:t>,0</w:t>
            </w:r>
          </w:p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  <w:r w:rsidRPr="001A4995">
              <w:rPr>
                <w:sz w:val="22"/>
                <w:szCs w:val="22"/>
              </w:rPr>
              <w:t xml:space="preserve">по </w:t>
            </w:r>
            <w:r w:rsidR="00707DE7" w:rsidRPr="001A4995">
              <w:rPr>
                <w:sz w:val="22"/>
                <w:szCs w:val="22"/>
              </w:rPr>
              <w:t>моторному методу и</w:t>
            </w:r>
          </w:p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  <w:r w:rsidRPr="001A4995">
              <w:rPr>
                <w:sz w:val="22"/>
                <w:szCs w:val="22"/>
              </w:rPr>
              <w:t>80</w:t>
            </w:r>
            <w:r w:rsidR="00707DE7" w:rsidRPr="001A4995">
              <w:rPr>
                <w:sz w:val="22"/>
                <w:szCs w:val="22"/>
              </w:rPr>
              <w:t xml:space="preserve"> </w:t>
            </w:r>
            <w:r w:rsidRPr="001A4995">
              <w:rPr>
                <w:sz w:val="22"/>
                <w:szCs w:val="22"/>
              </w:rPr>
              <w:t xml:space="preserve">по </w:t>
            </w:r>
            <w:r w:rsidR="00707DE7" w:rsidRPr="001A4995">
              <w:rPr>
                <w:sz w:val="22"/>
                <w:szCs w:val="22"/>
              </w:rPr>
              <w:t>исследовательскому методу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  <w:r w:rsidRPr="001A4995">
              <w:rPr>
                <w:sz w:val="22"/>
                <w:szCs w:val="22"/>
              </w:rPr>
              <w:t>А-76 (АИ-80)</w:t>
            </w:r>
          </w:p>
        </w:tc>
      </w:tr>
      <w:tr w:rsidR="000B6738" w:rsidRPr="001A4995" w:rsidTr="001A4995">
        <w:trPr>
          <w:trHeight w:val="45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</w:p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  <w:r w:rsidRPr="001A4995">
              <w:rPr>
                <w:sz w:val="22"/>
                <w:szCs w:val="22"/>
              </w:rPr>
              <w:t>высокооктановые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  <w:r w:rsidRPr="001A4995">
              <w:rPr>
                <w:sz w:val="22"/>
                <w:szCs w:val="22"/>
              </w:rPr>
              <w:t>82,5-88</w:t>
            </w:r>
          </w:p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  <w:r w:rsidRPr="001A4995">
              <w:rPr>
                <w:sz w:val="22"/>
                <w:szCs w:val="22"/>
              </w:rPr>
              <w:t xml:space="preserve">по </w:t>
            </w:r>
            <w:r w:rsidR="00707DE7" w:rsidRPr="001A4995">
              <w:rPr>
                <w:sz w:val="22"/>
                <w:szCs w:val="22"/>
              </w:rPr>
              <w:t xml:space="preserve">моторному методу, 91-98 </w:t>
            </w:r>
            <w:r w:rsidRPr="001A4995">
              <w:rPr>
                <w:sz w:val="22"/>
                <w:szCs w:val="22"/>
              </w:rPr>
              <w:t xml:space="preserve">по </w:t>
            </w:r>
            <w:r w:rsidR="00707DE7" w:rsidRPr="001A4995">
              <w:rPr>
                <w:sz w:val="22"/>
                <w:szCs w:val="22"/>
              </w:rPr>
              <w:t>исследовательскому методу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  <w:r w:rsidRPr="001A4995">
              <w:rPr>
                <w:sz w:val="22"/>
                <w:szCs w:val="22"/>
              </w:rPr>
              <w:t>АИ-92 (АИ-91,АИ-93)</w:t>
            </w:r>
          </w:p>
        </w:tc>
      </w:tr>
      <w:tr w:rsidR="000B6738" w:rsidRPr="001A4995" w:rsidTr="001A4995">
        <w:trPr>
          <w:trHeight w:val="41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  <w:r w:rsidRPr="001A4995">
              <w:rPr>
                <w:sz w:val="22"/>
                <w:szCs w:val="22"/>
              </w:rPr>
              <w:t>АИ-95 (АИ-96)</w:t>
            </w:r>
          </w:p>
        </w:tc>
      </w:tr>
      <w:tr w:rsidR="000B6738" w:rsidRPr="001A4995" w:rsidTr="001A4995">
        <w:trPr>
          <w:trHeight w:val="26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38" w:rsidRPr="001A4995" w:rsidRDefault="000B6738" w:rsidP="00707DE7">
            <w:pPr>
              <w:jc w:val="center"/>
              <w:rPr>
                <w:sz w:val="22"/>
                <w:szCs w:val="22"/>
              </w:rPr>
            </w:pPr>
            <w:r w:rsidRPr="001A4995">
              <w:rPr>
                <w:sz w:val="22"/>
                <w:szCs w:val="22"/>
              </w:rPr>
              <w:t>АИ-98</w:t>
            </w:r>
          </w:p>
        </w:tc>
      </w:tr>
    </w:tbl>
    <w:p w:rsidR="000B6738" w:rsidRPr="001A4995" w:rsidRDefault="000B6738" w:rsidP="000B6738">
      <w:pPr>
        <w:pStyle w:val="a4"/>
        <w:spacing w:line="317" w:lineRule="exact"/>
        <w:ind w:left="120" w:right="120" w:firstLine="720"/>
        <w:jc w:val="both"/>
        <w:rPr>
          <w:b w:val="0"/>
          <w:sz w:val="25"/>
          <w:szCs w:val="25"/>
        </w:rPr>
      </w:pPr>
    </w:p>
    <w:p w:rsidR="00C454B4" w:rsidRPr="001A4995" w:rsidRDefault="00C454B4" w:rsidP="00C454B4">
      <w:pPr>
        <w:pStyle w:val="a4"/>
        <w:spacing w:line="317" w:lineRule="exact"/>
        <w:ind w:right="120" w:firstLine="709"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>Наиболее распространенными в применении марками бензинов являются бензины АИ-92 и АИ-95</w:t>
      </w:r>
      <w:r w:rsidR="00CE3889" w:rsidRPr="001A4995">
        <w:rPr>
          <w:b w:val="0"/>
          <w:sz w:val="25"/>
          <w:szCs w:val="25"/>
        </w:rPr>
        <w:t>.</w:t>
      </w:r>
    </w:p>
    <w:p w:rsidR="002834E3" w:rsidRPr="001A4995" w:rsidRDefault="00C454B4" w:rsidP="0013178E">
      <w:pPr>
        <w:pStyle w:val="a4"/>
        <w:spacing w:line="317" w:lineRule="exact"/>
        <w:ind w:left="120" w:right="120" w:firstLine="720"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 xml:space="preserve">Также, </w:t>
      </w:r>
      <w:r w:rsidR="0013178E" w:rsidRPr="001A4995">
        <w:rPr>
          <w:b w:val="0"/>
          <w:sz w:val="25"/>
          <w:szCs w:val="25"/>
        </w:rPr>
        <w:t>следует отметить, что</w:t>
      </w:r>
      <w:r w:rsidR="00954230" w:rsidRPr="001A4995">
        <w:rPr>
          <w:b w:val="0"/>
          <w:sz w:val="25"/>
          <w:szCs w:val="25"/>
        </w:rPr>
        <w:t xml:space="preserve"> по функциональному назначению к заменителям бензина  можно отнести сжиженные углеводородные газы, но для работы на СУГ необходимо переоборудование автотранспортного средства на газомоторное топливо.</w:t>
      </w:r>
      <w:r w:rsidR="0013178E" w:rsidRPr="001A4995">
        <w:rPr>
          <w:b w:val="0"/>
          <w:sz w:val="25"/>
          <w:szCs w:val="25"/>
        </w:rPr>
        <w:t xml:space="preserve"> </w:t>
      </w:r>
      <w:r w:rsidR="000B6738" w:rsidRPr="001A4995">
        <w:rPr>
          <w:b w:val="0"/>
          <w:sz w:val="25"/>
          <w:szCs w:val="25"/>
        </w:rPr>
        <w:t xml:space="preserve">К недостаткам газобаллонных </w:t>
      </w:r>
      <w:r w:rsidR="002834E3" w:rsidRPr="001A4995">
        <w:rPr>
          <w:b w:val="0"/>
          <w:sz w:val="25"/>
          <w:szCs w:val="25"/>
        </w:rPr>
        <w:t>автотранспортных средств</w:t>
      </w:r>
      <w:r w:rsidR="000B6738" w:rsidRPr="001A4995">
        <w:rPr>
          <w:b w:val="0"/>
          <w:sz w:val="25"/>
          <w:szCs w:val="25"/>
        </w:rPr>
        <w:t xml:space="preserve"> относится</w:t>
      </w:r>
      <w:r w:rsidR="002834E3" w:rsidRPr="001A4995">
        <w:rPr>
          <w:b w:val="0"/>
          <w:sz w:val="25"/>
          <w:szCs w:val="25"/>
        </w:rPr>
        <w:t>:</w:t>
      </w:r>
    </w:p>
    <w:p w:rsidR="002834E3" w:rsidRPr="001A4995" w:rsidRDefault="002834E3" w:rsidP="0013178E">
      <w:pPr>
        <w:pStyle w:val="a4"/>
        <w:spacing w:line="317" w:lineRule="exact"/>
        <w:ind w:left="120" w:right="120" w:firstLine="720"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>-</w:t>
      </w:r>
      <w:r w:rsidR="000B6738" w:rsidRPr="001A4995">
        <w:rPr>
          <w:b w:val="0"/>
          <w:sz w:val="25"/>
          <w:szCs w:val="25"/>
        </w:rPr>
        <w:t xml:space="preserve"> уменьшение грузоподъемности транспор</w:t>
      </w:r>
      <w:r w:rsidRPr="001A4995">
        <w:rPr>
          <w:b w:val="0"/>
          <w:sz w:val="25"/>
          <w:szCs w:val="25"/>
        </w:rPr>
        <w:t xml:space="preserve">та и повышение </w:t>
      </w:r>
      <w:proofErr w:type="spellStart"/>
      <w:r w:rsidRPr="001A4995">
        <w:rPr>
          <w:b w:val="0"/>
          <w:sz w:val="25"/>
          <w:szCs w:val="25"/>
        </w:rPr>
        <w:t>пожароопасности</w:t>
      </w:r>
      <w:proofErr w:type="spellEnd"/>
      <w:r w:rsidRPr="001A4995">
        <w:rPr>
          <w:b w:val="0"/>
          <w:sz w:val="25"/>
          <w:szCs w:val="25"/>
        </w:rPr>
        <w:t>.;</w:t>
      </w:r>
    </w:p>
    <w:p w:rsidR="000B6738" w:rsidRPr="001A4995" w:rsidRDefault="002834E3" w:rsidP="0013178E">
      <w:pPr>
        <w:pStyle w:val="a4"/>
        <w:spacing w:line="317" w:lineRule="exact"/>
        <w:ind w:left="120" w:right="120" w:firstLine="720"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>-</w:t>
      </w:r>
      <w:r w:rsidR="000B6738" w:rsidRPr="001A4995">
        <w:rPr>
          <w:b w:val="0"/>
          <w:sz w:val="25"/>
          <w:szCs w:val="25"/>
        </w:rPr>
        <w:t xml:space="preserve"> расположение </w:t>
      </w:r>
      <w:proofErr w:type="spellStart"/>
      <w:r w:rsidRPr="001A4995">
        <w:rPr>
          <w:b w:val="0"/>
          <w:sz w:val="25"/>
          <w:szCs w:val="25"/>
        </w:rPr>
        <w:t>автогазо</w:t>
      </w:r>
      <w:r w:rsidR="000B6738" w:rsidRPr="001A4995">
        <w:rPr>
          <w:b w:val="0"/>
          <w:sz w:val="25"/>
          <w:szCs w:val="25"/>
        </w:rPr>
        <w:t>заправочных</w:t>
      </w:r>
      <w:proofErr w:type="spellEnd"/>
      <w:r w:rsidR="000B6738" w:rsidRPr="001A4995">
        <w:rPr>
          <w:b w:val="0"/>
          <w:sz w:val="25"/>
          <w:szCs w:val="25"/>
        </w:rPr>
        <w:t xml:space="preserve"> станций носит локализованный характер, на отдельных территориях отсутствует возможность для заправки данным видом топлива</w:t>
      </w:r>
      <w:r w:rsidRPr="001A4995">
        <w:rPr>
          <w:b w:val="0"/>
          <w:sz w:val="25"/>
          <w:szCs w:val="25"/>
        </w:rPr>
        <w:t>, что доставляет неудобство для потребителей (в сельской местности);</w:t>
      </w:r>
    </w:p>
    <w:p w:rsidR="002834E3" w:rsidRPr="001A4995" w:rsidRDefault="002834E3" w:rsidP="0013178E">
      <w:pPr>
        <w:pStyle w:val="a4"/>
        <w:spacing w:line="317" w:lineRule="exact"/>
        <w:ind w:left="120" w:right="120" w:firstLine="720"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>-для работы автотранспортных средств на СУГ, особенно в зимнее время для запуска двигателя необходим автомобильный бензин.</w:t>
      </w:r>
    </w:p>
    <w:p w:rsidR="002834E3" w:rsidRPr="001A4995" w:rsidRDefault="002834E3" w:rsidP="0013178E">
      <w:pPr>
        <w:pStyle w:val="a4"/>
        <w:spacing w:line="317" w:lineRule="exact"/>
        <w:ind w:left="120" w:right="120" w:firstLine="720"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>Исходя из вышеизложенного</w:t>
      </w:r>
      <w:r w:rsidR="00962565" w:rsidRPr="001A4995">
        <w:rPr>
          <w:b w:val="0"/>
          <w:sz w:val="25"/>
          <w:szCs w:val="25"/>
        </w:rPr>
        <w:t>, следует, что</w:t>
      </w:r>
      <w:r w:rsidRPr="001A4995">
        <w:rPr>
          <w:b w:val="0"/>
          <w:sz w:val="25"/>
          <w:szCs w:val="25"/>
        </w:rPr>
        <w:t xml:space="preserve"> СУГ не является товаром заменителем для автомобильных бензинов, так как для работы автомобиля на сжиженном газе необходима специальная газобаллонная установк</w:t>
      </w:r>
      <w:r w:rsidR="00962565" w:rsidRPr="001A4995">
        <w:rPr>
          <w:b w:val="0"/>
          <w:sz w:val="25"/>
          <w:szCs w:val="25"/>
        </w:rPr>
        <w:t>а</w:t>
      </w:r>
      <w:r w:rsidRPr="001A4995">
        <w:rPr>
          <w:b w:val="0"/>
          <w:sz w:val="25"/>
          <w:szCs w:val="25"/>
        </w:rPr>
        <w:t>.</w:t>
      </w:r>
    </w:p>
    <w:p w:rsidR="000B6738" w:rsidRPr="001A4995" w:rsidRDefault="000B6738" w:rsidP="008E7E2B">
      <w:pPr>
        <w:pStyle w:val="a4"/>
        <w:spacing w:after="342"/>
        <w:ind w:left="140" w:right="100" w:firstLine="580"/>
        <w:contextualSpacing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 xml:space="preserve">Таким образом, определенными продуктовыми границами </w:t>
      </w:r>
      <w:r w:rsidR="002834E3" w:rsidRPr="001A4995">
        <w:rPr>
          <w:b w:val="0"/>
          <w:sz w:val="25"/>
          <w:szCs w:val="25"/>
        </w:rPr>
        <w:t>рынков розничной реализации автомобильных бензинов</w:t>
      </w:r>
      <w:r w:rsidRPr="001A4995">
        <w:rPr>
          <w:b w:val="0"/>
          <w:sz w:val="25"/>
          <w:szCs w:val="25"/>
        </w:rPr>
        <w:t xml:space="preserve"> являются:</w:t>
      </w:r>
    </w:p>
    <w:p w:rsidR="00ED3DE5" w:rsidRPr="001A4995" w:rsidRDefault="00ED3DE5" w:rsidP="008E7E2B">
      <w:pPr>
        <w:pStyle w:val="a4"/>
        <w:spacing w:line="317" w:lineRule="exact"/>
        <w:ind w:right="120" w:firstLine="709"/>
        <w:contextualSpacing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>- бензин А</w:t>
      </w:r>
      <w:r w:rsidR="00740C5C" w:rsidRPr="001A4995">
        <w:rPr>
          <w:b w:val="0"/>
          <w:sz w:val="25"/>
          <w:szCs w:val="25"/>
        </w:rPr>
        <w:t>-76</w:t>
      </w:r>
      <w:r w:rsidR="00CE3889" w:rsidRPr="001A4995">
        <w:rPr>
          <w:b w:val="0"/>
          <w:sz w:val="25"/>
          <w:szCs w:val="25"/>
        </w:rPr>
        <w:t>;</w:t>
      </w:r>
    </w:p>
    <w:p w:rsidR="000B6738" w:rsidRPr="001A4995" w:rsidRDefault="000B6738" w:rsidP="008E7E2B">
      <w:pPr>
        <w:pStyle w:val="a4"/>
        <w:spacing w:line="317" w:lineRule="exact"/>
        <w:ind w:right="120" w:firstLine="709"/>
        <w:contextualSpacing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>- бензин АИ-92;</w:t>
      </w:r>
    </w:p>
    <w:p w:rsidR="000B6738" w:rsidRPr="001A4995" w:rsidRDefault="008E7E2B" w:rsidP="008E7E2B">
      <w:pPr>
        <w:pStyle w:val="a4"/>
        <w:spacing w:line="317" w:lineRule="exact"/>
        <w:ind w:right="120" w:firstLine="709"/>
        <w:contextualSpacing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>- бензин АИ-95;</w:t>
      </w:r>
    </w:p>
    <w:p w:rsidR="00183493" w:rsidRPr="001A4995" w:rsidRDefault="00ED3DE5" w:rsidP="002B0663">
      <w:pPr>
        <w:pStyle w:val="a4"/>
        <w:spacing w:line="317" w:lineRule="exact"/>
        <w:ind w:right="120" w:firstLine="709"/>
        <w:contextualSpacing/>
        <w:jc w:val="both"/>
        <w:rPr>
          <w:b w:val="0"/>
          <w:sz w:val="25"/>
          <w:szCs w:val="25"/>
        </w:rPr>
      </w:pPr>
      <w:r w:rsidRPr="001A4995">
        <w:rPr>
          <w:b w:val="0"/>
          <w:sz w:val="25"/>
          <w:szCs w:val="25"/>
        </w:rPr>
        <w:t>- бензин АИ-98.</w:t>
      </w:r>
    </w:p>
    <w:p w:rsidR="001A4995" w:rsidRPr="001A4995" w:rsidRDefault="001A4995" w:rsidP="001A4995">
      <w:pPr>
        <w:rPr>
          <w:sz w:val="25"/>
          <w:szCs w:val="25"/>
        </w:rPr>
      </w:pPr>
    </w:p>
    <w:p w:rsidR="00C6253B" w:rsidRPr="001A4995" w:rsidRDefault="00C6253B" w:rsidP="00003809">
      <w:pPr>
        <w:pStyle w:val="9"/>
        <w:ind w:left="1069" w:firstLine="371"/>
        <w:rPr>
          <w:b/>
          <w:sz w:val="25"/>
          <w:szCs w:val="25"/>
        </w:rPr>
      </w:pPr>
      <w:r w:rsidRPr="001A4995">
        <w:rPr>
          <w:b/>
          <w:sz w:val="25"/>
          <w:szCs w:val="25"/>
        </w:rPr>
        <w:t>Определение географических границ товарного рынка</w:t>
      </w:r>
    </w:p>
    <w:p w:rsidR="009D4DD9" w:rsidRPr="001A4995" w:rsidRDefault="009D4DD9" w:rsidP="006C7C24">
      <w:pPr>
        <w:ind w:firstLine="709"/>
        <w:jc w:val="both"/>
        <w:rPr>
          <w:sz w:val="25"/>
          <w:szCs w:val="25"/>
        </w:rPr>
      </w:pPr>
    </w:p>
    <w:p w:rsidR="009D4DD9" w:rsidRPr="001A4995" w:rsidRDefault="009D4DD9" w:rsidP="006C7C24">
      <w:pPr>
        <w:ind w:firstLine="709"/>
        <w:jc w:val="both"/>
        <w:rPr>
          <w:sz w:val="25"/>
          <w:szCs w:val="25"/>
        </w:rPr>
      </w:pPr>
      <w:r w:rsidRPr="001A4995">
        <w:rPr>
          <w:sz w:val="25"/>
          <w:szCs w:val="25"/>
        </w:rPr>
        <w:t xml:space="preserve">Географические границы локальных рынков определяются исходя из оценки экономической возможности приобретения нефтепродуктов потребителем. </w:t>
      </w:r>
      <w:proofErr w:type="gramStart"/>
      <w:r w:rsidRPr="001A4995">
        <w:rPr>
          <w:sz w:val="25"/>
          <w:szCs w:val="25"/>
        </w:rPr>
        <w:t>Исходя из того, что места розничной реализации нефтепродуктов (АЗС) территориально фиксированы</w:t>
      </w:r>
      <w:r w:rsidR="00DE4EFB" w:rsidRPr="001A4995">
        <w:rPr>
          <w:sz w:val="25"/>
          <w:szCs w:val="25"/>
        </w:rPr>
        <w:t>, основными ограничениями экономической возможности приобретения нефтепродуктов на АЗС являются организационно-транспортные схемы приобретения нефтепродуктов потребителем (расположение АЗС, расстояние, маршрут следования до АЗС) и транспортные расходы, связанные с поиском и приобретением потребителем нефтепродуктов на АЗС)</w:t>
      </w:r>
      <w:r w:rsidR="00EC4FA5" w:rsidRPr="001A4995">
        <w:rPr>
          <w:sz w:val="25"/>
          <w:szCs w:val="25"/>
        </w:rPr>
        <w:t>.</w:t>
      </w:r>
      <w:proofErr w:type="gramEnd"/>
    </w:p>
    <w:p w:rsidR="005C6425" w:rsidRPr="001A4995" w:rsidRDefault="005C6425" w:rsidP="006C7C24">
      <w:pPr>
        <w:pStyle w:val="20"/>
        <w:rPr>
          <w:sz w:val="25"/>
          <w:szCs w:val="25"/>
        </w:rPr>
      </w:pPr>
      <w:r w:rsidRPr="001A4995">
        <w:rPr>
          <w:sz w:val="25"/>
          <w:szCs w:val="25"/>
        </w:rPr>
        <w:t>Определение географических границ локальных розничных рынков нефтепродуктов осуществляется на основе</w:t>
      </w:r>
      <w:r w:rsidR="006F5E86" w:rsidRPr="001A4995">
        <w:rPr>
          <w:sz w:val="25"/>
          <w:szCs w:val="25"/>
        </w:rPr>
        <w:t xml:space="preserve"> административных границ муниципальных </w:t>
      </w:r>
      <w:r w:rsidR="006F5E86" w:rsidRPr="001A4995">
        <w:rPr>
          <w:sz w:val="25"/>
          <w:szCs w:val="25"/>
        </w:rPr>
        <w:lastRenderedPageBreak/>
        <w:t>образований, т.е. территорий с учетом экономико-географического положения и автотранспортной инфраструктуры</w:t>
      </w:r>
      <w:r w:rsidR="00DF3B93" w:rsidRPr="001A4995">
        <w:rPr>
          <w:sz w:val="25"/>
          <w:szCs w:val="25"/>
        </w:rPr>
        <w:t>,</w:t>
      </w:r>
      <w:r w:rsidR="006F5E86" w:rsidRPr="001A4995">
        <w:rPr>
          <w:sz w:val="25"/>
          <w:szCs w:val="25"/>
        </w:rPr>
        <w:t xml:space="preserve"> в пределах которой пролегают маршруты регулярного движения частного автотранспорта и автотранспорта предприятий и организаций</w:t>
      </w:r>
      <w:r w:rsidR="00FB3F5C" w:rsidRPr="001A4995">
        <w:rPr>
          <w:sz w:val="25"/>
          <w:szCs w:val="25"/>
        </w:rPr>
        <w:t xml:space="preserve"> (за исключением областных, межрегиональных, транзитных)</w:t>
      </w:r>
      <w:r w:rsidR="005B6DF0" w:rsidRPr="001A4995">
        <w:rPr>
          <w:sz w:val="25"/>
          <w:szCs w:val="25"/>
        </w:rPr>
        <w:t>, с численностью населения свыше 100 тыс.</w:t>
      </w:r>
      <w:r w:rsidR="00B3329B" w:rsidRPr="001A4995">
        <w:rPr>
          <w:sz w:val="25"/>
          <w:szCs w:val="25"/>
        </w:rPr>
        <w:t xml:space="preserve"> </w:t>
      </w:r>
      <w:r w:rsidR="005B6DF0" w:rsidRPr="001A4995">
        <w:rPr>
          <w:sz w:val="25"/>
          <w:szCs w:val="25"/>
        </w:rPr>
        <w:t>человек.</w:t>
      </w:r>
    </w:p>
    <w:p w:rsidR="006C7C24" w:rsidRPr="001A4995" w:rsidRDefault="00B95DCA" w:rsidP="00B95DCA">
      <w:pPr>
        <w:pStyle w:val="20"/>
        <w:rPr>
          <w:sz w:val="25"/>
          <w:szCs w:val="25"/>
        </w:rPr>
      </w:pPr>
      <w:r w:rsidRPr="001A4995">
        <w:rPr>
          <w:sz w:val="25"/>
          <w:szCs w:val="25"/>
        </w:rPr>
        <w:t>В качестве географических границ в целях данного анализа принимаются границы Ульяновской области (</w:t>
      </w:r>
      <w:r w:rsidRPr="001A4995">
        <w:rPr>
          <w:b/>
          <w:sz w:val="25"/>
          <w:szCs w:val="25"/>
        </w:rPr>
        <w:t>первый локальный рынок</w:t>
      </w:r>
      <w:r w:rsidRPr="001A4995">
        <w:rPr>
          <w:sz w:val="25"/>
          <w:szCs w:val="25"/>
        </w:rPr>
        <w:t xml:space="preserve">), а также административные границы муниципального образования «город Ульяновск», которые выступают в </w:t>
      </w:r>
      <w:r w:rsidR="00C6253B" w:rsidRPr="001A4995">
        <w:rPr>
          <w:sz w:val="25"/>
          <w:szCs w:val="25"/>
        </w:rPr>
        <w:t xml:space="preserve">качестве географических границ </w:t>
      </w:r>
      <w:r w:rsidRPr="001A4995">
        <w:rPr>
          <w:b/>
          <w:sz w:val="25"/>
          <w:szCs w:val="25"/>
        </w:rPr>
        <w:t>второго</w:t>
      </w:r>
      <w:r w:rsidR="00C6253B" w:rsidRPr="001A4995">
        <w:rPr>
          <w:sz w:val="25"/>
          <w:szCs w:val="25"/>
        </w:rPr>
        <w:t xml:space="preserve"> локального  рознично</w:t>
      </w:r>
      <w:r w:rsidR="00DB0010" w:rsidRPr="001A4995">
        <w:rPr>
          <w:sz w:val="25"/>
          <w:szCs w:val="25"/>
        </w:rPr>
        <w:t>го</w:t>
      </w:r>
      <w:r w:rsidR="00C6253B" w:rsidRPr="001A4995">
        <w:rPr>
          <w:sz w:val="25"/>
          <w:szCs w:val="25"/>
        </w:rPr>
        <w:t xml:space="preserve">  </w:t>
      </w:r>
      <w:r w:rsidR="00DB0010" w:rsidRPr="001A4995">
        <w:rPr>
          <w:sz w:val="25"/>
          <w:szCs w:val="25"/>
        </w:rPr>
        <w:t>рынка</w:t>
      </w:r>
      <w:r w:rsidR="00C6253B" w:rsidRPr="001A4995">
        <w:rPr>
          <w:sz w:val="25"/>
          <w:szCs w:val="25"/>
        </w:rPr>
        <w:t xml:space="preserve"> нефтепродуктов, </w:t>
      </w:r>
      <w:r w:rsidRPr="001A4995">
        <w:rPr>
          <w:sz w:val="25"/>
          <w:szCs w:val="25"/>
        </w:rPr>
        <w:t>и административные границы муниципального образования «город Димитровград» - в</w:t>
      </w:r>
      <w:r w:rsidR="005B6DF0" w:rsidRPr="001A4995">
        <w:rPr>
          <w:sz w:val="25"/>
          <w:szCs w:val="25"/>
        </w:rPr>
        <w:t xml:space="preserve"> качестве географических границ </w:t>
      </w:r>
      <w:r w:rsidRPr="001A4995">
        <w:rPr>
          <w:b/>
          <w:sz w:val="25"/>
          <w:szCs w:val="25"/>
        </w:rPr>
        <w:t>третьего</w:t>
      </w:r>
      <w:r w:rsidR="005B6DF0" w:rsidRPr="001A4995">
        <w:rPr>
          <w:sz w:val="25"/>
          <w:szCs w:val="25"/>
        </w:rPr>
        <w:t xml:space="preserve"> локального ро</w:t>
      </w:r>
      <w:r w:rsidRPr="001A4995">
        <w:rPr>
          <w:sz w:val="25"/>
          <w:szCs w:val="25"/>
        </w:rPr>
        <w:t>зничного рынка нефтепродуктов.</w:t>
      </w:r>
    </w:p>
    <w:p w:rsidR="00B95DCA" w:rsidRPr="001A4995" w:rsidRDefault="00B95DCA" w:rsidP="00B95DCA">
      <w:pPr>
        <w:pStyle w:val="20"/>
        <w:rPr>
          <w:sz w:val="25"/>
          <w:szCs w:val="25"/>
        </w:rPr>
      </w:pPr>
    </w:p>
    <w:p w:rsidR="00B95DCA" w:rsidRPr="001A4995" w:rsidRDefault="00B95DCA" w:rsidP="00B95DCA">
      <w:pPr>
        <w:pStyle w:val="20"/>
        <w:jc w:val="center"/>
        <w:rPr>
          <w:b/>
          <w:sz w:val="25"/>
          <w:szCs w:val="25"/>
          <w:u w:val="single"/>
        </w:rPr>
      </w:pPr>
      <w:r w:rsidRPr="001A4995">
        <w:rPr>
          <w:b/>
          <w:sz w:val="25"/>
          <w:szCs w:val="25"/>
          <w:u w:val="single"/>
        </w:rPr>
        <w:t>Определение состава хозяйствующих субъектов,  действующих</w:t>
      </w:r>
    </w:p>
    <w:p w:rsidR="00B95DCA" w:rsidRPr="001A4995" w:rsidRDefault="00B95DCA" w:rsidP="00B95DCA">
      <w:pPr>
        <w:pStyle w:val="20"/>
        <w:jc w:val="center"/>
        <w:rPr>
          <w:b/>
          <w:sz w:val="25"/>
          <w:szCs w:val="25"/>
          <w:u w:val="single"/>
        </w:rPr>
      </w:pPr>
      <w:r w:rsidRPr="001A4995">
        <w:rPr>
          <w:b/>
          <w:sz w:val="25"/>
          <w:szCs w:val="25"/>
          <w:u w:val="single"/>
        </w:rPr>
        <w:t>на товарном рынке</w:t>
      </w:r>
    </w:p>
    <w:p w:rsidR="00B95DCA" w:rsidRPr="001A4995" w:rsidRDefault="00B95DCA" w:rsidP="00B95DCA">
      <w:pPr>
        <w:pStyle w:val="20"/>
        <w:rPr>
          <w:sz w:val="25"/>
          <w:szCs w:val="25"/>
        </w:rPr>
      </w:pPr>
    </w:p>
    <w:p w:rsidR="00DC1F6E" w:rsidRPr="001A4995" w:rsidRDefault="00B95DCA" w:rsidP="006553E2">
      <w:pPr>
        <w:pStyle w:val="20"/>
        <w:rPr>
          <w:sz w:val="25"/>
          <w:szCs w:val="25"/>
        </w:rPr>
      </w:pPr>
      <w:r w:rsidRPr="001A4995">
        <w:rPr>
          <w:sz w:val="25"/>
          <w:szCs w:val="25"/>
        </w:rPr>
        <w:t xml:space="preserve">Потребителями  бензина автомобильного, </w:t>
      </w:r>
      <w:r w:rsidR="006553E2" w:rsidRPr="001A4995">
        <w:rPr>
          <w:sz w:val="25"/>
          <w:szCs w:val="25"/>
        </w:rPr>
        <w:t>реализуемого</w:t>
      </w:r>
      <w:r w:rsidRPr="001A4995">
        <w:rPr>
          <w:sz w:val="25"/>
          <w:szCs w:val="25"/>
        </w:rPr>
        <w:t xml:space="preserve"> через АЗС, являются владельцы легковых и грузовых автомобилей, хозяйствующие </w:t>
      </w:r>
      <w:proofErr w:type="gramStart"/>
      <w:r w:rsidRPr="001A4995">
        <w:rPr>
          <w:sz w:val="25"/>
          <w:szCs w:val="25"/>
        </w:rPr>
        <w:t>субъекты</w:t>
      </w:r>
      <w:proofErr w:type="gramEnd"/>
      <w:r w:rsidRPr="001A4995">
        <w:rPr>
          <w:sz w:val="25"/>
          <w:szCs w:val="25"/>
        </w:rPr>
        <w:t xml:space="preserve"> специализирующиеся на грузовых и пассажирских перевозках и другие</w:t>
      </w:r>
      <w:r w:rsidR="00831BD2" w:rsidRPr="001A4995">
        <w:rPr>
          <w:sz w:val="25"/>
          <w:szCs w:val="25"/>
        </w:rPr>
        <w:t xml:space="preserve">, приобретающие автомобильные бензины единичного количества </w:t>
      </w:r>
      <w:r w:rsidR="00D251CD" w:rsidRPr="001A4995">
        <w:rPr>
          <w:sz w:val="25"/>
          <w:szCs w:val="25"/>
        </w:rPr>
        <w:t xml:space="preserve">преимущественно </w:t>
      </w:r>
      <w:r w:rsidR="00831BD2" w:rsidRPr="001A4995">
        <w:rPr>
          <w:sz w:val="25"/>
          <w:szCs w:val="25"/>
        </w:rPr>
        <w:t xml:space="preserve">для личного </w:t>
      </w:r>
      <w:r w:rsidR="00DC1F6E" w:rsidRPr="001A4995">
        <w:rPr>
          <w:sz w:val="25"/>
          <w:szCs w:val="25"/>
        </w:rPr>
        <w:t>ис</w:t>
      </w:r>
      <w:r w:rsidR="00831BD2" w:rsidRPr="001A4995">
        <w:rPr>
          <w:sz w:val="25"/>
          <w:szCs w:val="25"/>
        </w:rPr>
        <w:t>пользования</w:t>
      </w:r>
      <w:r w:rsidRPr="001A4995">
        <w:rPr>
          <w:sz w:val="25"/>
          <w:szCs w:val="25"/>
        </w:rPr>
        <w:t>.</w:t>
      </w:r>
      <w:r w:rsidR="00DC1F6E" w:rsidRPr="001A4995">
        <w:rPr>
          <w:sz w:val="25"/>
          <w:szCs w:val="25"/>
        </w:rPr>
        <w:t xml:space="preserve"> </w:t>
      </w:r>
    </w:p>
    <w:p w:rsidR="00B95DCA" w:rsidRPr="001A4995" w:rsidRDefault="00DC1F6E" w:rsidP="006553E2">
      <w:pPr>
        <w:pStyle w:val="20"/>
        <w:rPr>
          <w:sz w:val="25"/>
          <w:szCs w:val="25"/>
        </w:rPr>
      </w:pPr>
      <w:proofErr w:type="gramStart"/>
      <w:r w:rsidRPr="001A4995">
        <w:rPr>
          <w:sz w:val="25"/>
          <w:szCs w:val="25"/>
        </w:rPr>
        <w:t>Продавцами на рынках розничной реализации автомобильных бензинов являются</w:t>
      </w:r>
      <w:r w:rsidR="00282D83" w:rsidRPr="001A4995">
        <w:rPr>
          <w:sz w:val="25"/>
          <w:szCs w:val="25"/>
        </w:rPr>
        <w:t xml:space="preserve"> </w:t>
      </w:r>
      <w:r w:rsidR="00B95DCA" w:rsidRPr="001A4995">
        <w:rPr>
          <w:sz w:val="25"/>
          <w:szCs w:val="25"/>
        </w:rPr>
        <w:t>хозяйствующи</w:t>
      </w:r>
      <w:r w:rsidRPr="001A4995">
        <w:rPr>
          <w:sz w:val="25"/>
          <w:szCs w:val="25"/>
        </w:rPr>
        <w:t>е</w:t>
      </w:r>
      <w:r w:rsidR="00B95DCA" w:rsidRPr="001A4995">
        <w:rPr>
          <w:sz w:val="25"/>
          <w:szCs w:val="25"/>
        </w:rPr>
        <w:t xml:space="preserve"> субъект</w:t>
      </w:r>
      <w:r w:rsidRPr="001A4995">
        <w:rPr>
          <w:sz w:val="25"/>
          <w:szCs w:val="25"/>
        </w:rPr>
        <w:t>ы</w:t>
      </w:r>
      <w:r w:rsidR="00282D83" w:rsidRPr="001A4995">
        <w:rPr>
          <w:sz w:val="25"/>
          <w:szCs w:val="25"/>
        </w:rPr>
        <w:t>,</w:t>
      </w:r>
      <w:r w:rsidRPr="001A4995">
        <w:rPr>
          <w:sz w:val="25"/>
          <w:szCs w:val="25"/>
        </w:rPr>
        <w:t xml:space="preserve"> осуществляющие постоянную</w:t>
      </w:r>
      <w:r w:rsidR="00B95DCA" w:rsidRPr="001A4995">
        <w:rPr>
          <w:sz w:val="25"/>
          <w:szCs w:val="25"/>
        </w:rPr>
        <w:t xml:space="preserve"> </w:t>
      </w:r>
      <w:r w:rsidRPr="001A4995">
        <w:rPr>
          <w:sz w:val="25"/>
          <w:szCs w:val="25"/>
        </w:rPr>
        <w:t xml:space="preserve">деятельность по розничной </w:t>
      </w:r>
      <w:r w:rsidR="0099262A" w:rsidRPr="001A4995">
        <w:rPr>
          <w:sz w:val="25"/>
          <w:szCs w:val="25"/>
        </w:rPr>
        <w:t>реализацию</w:t>
      </w:r>
      <w:r w:rsidRPr="001A4995">
        <w:rPr>
          <w:sz w:val="25"/>
          <w:szCs w:val="25"/>
        </w:rPr>
        <w:t xml:space="preserve"> автомобильн</w:t>
      </w:r>
      <w:r w:rsidR="00282D83" w:rsidRPr="001A4995">
        <w:rPr>
          <w:sz w:val="25"/>
          <w:szCs w:val="25"/>
        </w:rPr>
        <w:t>ых</w:t>
      </w:r>
      <w:r w:rsidRPr="001A4995">
        <w:rPr>
          <w:sz w:val="25"/>
          <w:szCs w:val="25"/>
        </w:rPr>
        <w:t xml:space="preserve"> бензин</w:t>
      </w:r>
      <w:r w:rsidR="00282D83" w:rsidRPr="001A4995">
        <w:rPr>
          <w:sz w:val="25"/>
          <w:szCs w:val="25"/>
        </w:rPr>
        <w:t>ов</w:t>
      </w:r>
      <w:r w:rsidRPr="001A4995">
        <w:rPr>
          <w:sz w:val="25"/>
          <w:szCs w:val="25"/>
        </w:rPr>
        <w:t xml:space="preserve"> через АЗС </w:t>
      </w:r>
      <w:r w:rsidR="00B95DCA" w:rsidRPr="001A4995">
        <w:rPr>
          <w:sz w:val="25"/>
          <w:szCs w:val="25"/>
        </w:rPr>
        <w:t>общего пользования</w:t>
      </w:r>
      <w:r w:rsidR="00282D83" w:rsidRPr="001A4995">
        <w:rPr>
          <w:sz w:val="25"/>
          <w:szCs w:val="25"/>
        </w:rPr>
        <w:t xml:space="preserve"> преимущественно для личного пользования,</w:t>
      </w:r>
      <w:r w:rsidR="00B95DCA" w:rsidRPr="001A4995">
        <w:rPr>
          <w:sz w:val="25"/>
          <w:szCs w:val="25"/>
        </w:rPr>
        <w:t xml:space="preserve"> на территории </w:t>
      </w:r>
      <w:r w:rsidR="00452293" w:rsidRPr="001A4995">
        <w:rPr>
          <w:sz w:val="25"/>
          <w:szCs w:val="25"/>
        </w:rPr>
        <w:t>Ульяновск</w:t>
      </w:r>
      <w:r w:rsidR="00B56D55" w:rsidRPr="001A4995">
        <w:rPr>
          <w:sz w:val="25"/>
          <w:szCs w:val="25"/>
        </w:rPr>
        <w:t>ой области в период с 01.01.201</w:t>
      </w:r>
      <w:r w:rsidR="00D251CD" w:rsidRPr="001A4995">
        <w:rPr>
          <w:sz w:val="25"/>
          <w:szCs w:val="25"/>
        </w:rPr>
        <w:t>8</w:t>
      </w:r>
      <w:r w:rsidR="00452293" w:rsidRPr="001A4995">
        <w:rPr>
          <w:sz w:val="25"/>
          <w:szCs w:val="25"/>
        </w:rPr>
        <w:t xml:space="preserve"> -</w:t>
      </w:r>
      <w:r w:rsidR="00E60F57" w:rsidRPr="001A4995">
        <w:rPr>
          <w:sz w:val="25"/>
          <w:szCs w:val="25"/>
        </w:rPr>
        <w:t xml:space="preserve"> </w:t>
      </w:r>
      <w:r w:rsidR="00452293" w:rsidRPr="001A4995">
        <w:rPr>
          <w:sz w:val="25"/>
          <w:szCs w:val="25"/>
        </w:rPr>
        <w:t>31.12.201</w:t>
      </w:r>
      <w:r w:rsidR="00D251CD" w:rsidRPr="001A4995">
        <w:rPr>
          <w:sz w:val="25"/>
          <w:szCs w:val="25"/>
        </w:rPr>
        <w:t>8</w:t>
      </w:r>
      <w:r w:rsidR="00B95DCA" w:rsidRPr="001A4995">
        <w:rPr>
          <w:sz w:val="25"/>
          <w:szCs w:val="25"/>
        </w:rPr>
        <w:t xml:space="preserve"> года</w:t>
      </w:r>
      <w:r w:rsidR="00282D83" w:rsidRPr="001A4995">
        <w:rPr>
          <w:sz w:val="25"/>
          <w:szCs w:val="25"/>
        </w:rPr>
        <w:t>.</w:t>
      </w:r>
      <w:proofErr w:type="gramEnd"/>
    </w:p>
    <w:p w:rsidR="00EC67CD" w:rsidRPr="001A4995" w:rsidRDefault="00EC67CD" w:rsidP="006553E2">
      <w:pPr>
        <w:pStyle w:val="20"/>
        <w:rPr>
          <w:sz w:val="25"/>
          <w:szCs w:val="25"/>
          <w:highlight w:val="yellow"/>
        </w:rPr>
      </w:pPr>
      <w:r w:rsidRPr="001A4995">
        <w:rPr>
          <w:sz w:val="25"/>
          <w:szCs w:val="25"/>
        </w:rPr>
        <w:t>В указанный период на территории Ульяновской области функционировало 2</w:t>
      </w:r>
      <w:r w:rsidR="001623A5" w:rsidRPr="001A4995">
        <w:rPr>
          <w:sz w:val="25"/>
          <w:szCs w:val="25"/>
        </w:rPr>
        <w:t>1 хозяйствующий</w:t>
      </w:r>
      <w:r w:rsidRPr="001A4995">
        <w:rPr>
          <w:sz w:val="25"/>
          <w:szCs w:val="25"/>
        </w:rPr>
        <w:t xml:space="preserve"> субъект, осуществляющи</w:t>
      </w:r>
      <w:r w:rsidR="001623A5" w:rsidRPr="001A4995">
        <w:rPr>
          <w:sz w:val="25"/>
          <w:szCs w:val="25"/>
        </w:rPr>
        <w:t>й</w:t>
      </w:r>
      <w:r w:rsidRPr="001A4995">
        <w:rPr>
          <w:sz w:val="25"/>
          <w:szCs w:val="25"/>
        </w:rPr>
        <w:t xml:space="preserve"> розничную реализацию нефтепродуктов через 1</w:t>
      </w:r>
      <w:r w:rsidR="007B76A1" w:rsidRPr="001A4995">
        <w:rPr>
          <w:sz w:val="25"/>
          <w:szCs w:val="25"/>
        </w:rPr>
        <w:t>5</w:t>
      </w:r>
      <w:r w:rsidR="001623A5" w:rsidRPr="001A4995">
        <w:rPr>
          <w:sz w:val="25"/>
          <w:szCs w:val="25"/>
        </w:rPr>
        <w:t>0</w:t>
      </w:r>
      <w:r w:rsidR="007B76A1" w:rsidRPr="001A4995">
        <w:rPr>
          <w:sz w:val="25"/>
          <w:szCs w:val="25"/>
        </w:rPr>
        <w:t xml:space="preserve"> </w:t>
      </w:r>
      <w:r w:rsidRPr="001A4995">
        <w:rPr>
          <w:sz w:val="25"/>
          <w:szCs w:val="25"/>
        </w:rPr>
        <w:t>АЗС общего пользования.</w:t>
      </w:r>
    </w:p>
    <w:p w:rsidR="00EC67CD" w:rsidRPr="00E46054" w:rsidRDefault="00EC67CD" w:rsidP="006553E2">
      <w:pPr>
        <w:pStyle w:val="20"/>
        <w:rPr>
          <w:sz w:val="25"/>
          <w:szCs w:val="25"/>
        </w:rPr>
      </w:pPr>
      <w:r w:rsidRPr="00E46054">
        <w:rPr>
          <w:sz w:val="25"/>
          <w:szCs w:val="25"/>
        </w:rPr>
        <w:t>Из 2</w:t>
      </w:r>
      <w:r w:rsidR="00FC55CB" w:rsidRPr="00E46054">
        <w:rPr>
          <w:sz w:val="25"/>
          <w:szCs w:val="25"/>
        </w:rPr>
        <w:t>3</w:t>
      </w:r>
      <w:r w:rsidR="00B207D7" w:rsidRPr="00E46054">
        <w:rPr>
          <w:sz w:val="25"/>
          <w:szCs w:val="25"/>
        </w:rPr>
        <w:t xml:space="preserve"> хозяйствующ</w:t>
      </w:r>
      <w:r w:rsidR="00FC55CB" w:rsidRPr="00E46054">
        <w:rPr>
          <w:sz w:val="25"/>
          <w:szCs w:val="25"/>
        </w:rPr>
        <w:t>их субъектов</w:t>
      </w:r>
      <w:r w:rsidR="00B207D7" w:rsidRPr="00E46054">
        <w:rPr>
          <w:sz w:val="25"/>
          <w:szCs w:val="25"/>
        </w:rPr>
        <w:t xml:space="preserve"> (продавц</w:t>
      </w:r>
      <w:r w:rsidR="00FC55CB" w:rsidRPr="00E46054">
        <w:rPr>
          <w:sz w:val="25"/>
          <w:szCs w:val="25"/>
        </w:rPr>
        <w:t>ов</w:t>
      </w:r>
      <w:r w:rsidRPr="00E46054">
        <w:rPr>
          <w:sz w:val="25"/>
          <w:szCs w:val="25"/>
        </w:rPr>
        <w:t xml:space="preserve">) – </w:t>
      </w:r>
      <w:r w:rsidR="006553E2" w:rsidRPr="00E46054">
        <w:rPr>
          <w:sz w:val="25"/>
          <w:szCs w:val="25"/>
        </w:rPr>
        <w:t>являются</w:t>
      </w:r>
      <w:r w:rsidRPr="00E46054">
        <w:rPr>
          <w:sz w:val="25"/>
          <w:szCs w:val="25"/>
        </w:rPr>
        <w:t xml:space="preserve"> независимы</w:t>
      </w:r>
      <w:r w:rsidR="006553E2" w:rsidRPr="00E46054">
        <w:rPr>
          <w:sz w:val="25"/>
          <w:szCs w:val="25"/>
        </w:rPr>
        <w:t>ми</w:t>
      </w:r>
      <w:r w:rsidRPr="00E46054">
        <w:rPr>
          <w:sz w:val="25"/>
          <w:szCs w:val="25"/>
        </w:rPr>
        <w:t xml:space="preserve"> </w:t>
      </w:r>
      <w:r w:rsidR="00FC55CB" w:rsidRPr="00E46054">
        <w:rPr>
          <w:sz w:val="25"/>
          <w:szCs w:val="25"/>
        </w:rPr>
        <w:t>20</w:t>
      </w:r>
      <w:r w:rsidRPr="00E46054">
        <w:rPr>
          <w:sz w:val="25"/>
          <w:szCs w:val="25"/>
        </w:rPr>
        <w:t xml:space="preserve"> хозяйствующих субъекта, 2 хозяйствующи</w:t>
      </w:r>
      <w:r w:rsidR="008D16AD" w:rsidRPr="00E46054">
        <w:rPr>
          <w:sz w:val="25"/>
          <w:szCs w:val="25"/>
        </w:rPr>
        <w:t>х</w:t>
      </w:r>
      <w:r w:rsidRPr="00E46054">
        <w:rPr>
          <w:sz w:val="25"/>
          <w:szCs w:val="25"/>
        </w:rPr>
        <w:t xml:space="preserve"> суб</w:t>
      </w:r>
      <w:r w:rsidR="007B76A1" w:rsidRPr="00E46054">
        <w:rPr>
          <w:sz w:val="25"/>
          <w:szCs w:val="25"/>
        </w:rPr>
        <w:t xml:space="preserve">ъекта входят в группу лиц ПАО </w:t>
      </w:r>
      <w:r w:rsidRPr="00E46054">
        <w:rPr>
          <w:sz w:val="25"/>
          <w:szCs w:val="25"/>
        </w:rPr>
        <w:t>«НК «Роснефть» (АО «</w:t>
      </w:r>
      <w:proofErr w:type="spellStart"/>
      <w:r w:rsidRPr="00E46054">
        <w:rPr>
          <w:sz w:val="25"/>
          <w:szCs w:val="25"/>
        </w:rPr>
        <w:t>Ульяновскнефтепродукт</w:t>
      </w:r>
      <w:proofErr w:type="spellEnd"/>
      <w:r w:rsidRPr="00E46054">
        <w:rPr>
          <w:sz w:val="25"/>
          <w:szCs w:val="25"/>
        </w:rPr>
        <w:t>», ООО "</w:t>
      </w:r>
      <w:proofErr w:type="spellStart"/>
      <w:r w:rsidRPr="00E46054">
        <w:rPr>
          <w:sz w:val="25"/>
          <w:szCs w:val="25"/>
        </w:rPr>
        <w:t>Башнефть</w:t>
      </w:r>
      <w:proofErr w:type="spellEnd"/>
      <w:r w:rsidRPr="00E46054">
        <w:rPr>
          <w:sz w:val="25"/>
          <w:szCs w:val="25"/>
        </w:rPr>
        <w:t>-Розница"), один  входит в группу лиц  ПАО «Татнефть»  (</w:t>
      </w:r>
      <w:r w:rsidR="00B207D7" w:rsidRPr="00E46054">
        <w:rPr>
          <w:sz w:val="25"/>
          <w:szCs w:val="25"/>
        </w:rPr>
        <w:t>ООО Татнефть-АЗС Центр</w:t>
      </w:r>
      <w:r w:rsidR="00FC55CB" w:rsidRPr="00E46054">
        <w:rPr>
          <w:sz w:val="25"/>
          <w:szCs w:val="25"/>
        </w:rPr>
        <w:t>» Ульяновский филиал</w:t>
      </w:r>
      <w:r w:rsidR="00B207D7" w:rsidRPr="00E46054">
        <w:rPr>
          <w:sz w:val="25"/>
          <w:szCs w:val="25"/>
        </w:rPr>
        <w:t>).</w:t>
      </w:r>
    </w:p>
    <w:p w:rsidR="00EC67CD" w:rsidRPr="00E46054" w:rsidRDefault="00EC67CD" w:rsidP="006553E2">
      <w:pPr>
        <w:pStyle w:val="20"/>
        <w:rPr>
          <w:sz w:val="25"/>
          <w:szCs w:val="25"/>
          <w:u w:val="single"/>
        </w:rPr>
      </w:pPr>
      <w:r w:rsidRPr="00E46054">
        <w:rPr>
          <w:sz w:val="25"/>
          <w:szCs w:val="25"/>
        </w:rPr>
        <w:t>С середины 2007 года ЗАО «</w:t>
      </w:r>
      <w:proofErr w:type="spellStart"/>
      <w:r w:rsidRPr="00E46054">
        <w:rPr>
          <w:sz w:val="25"/>
          <w:szCs w:val="25"/>
        </w:rPr>
        <w:t>Ульяновскнефтепродукт</w:t>
      </w:r>
      <w:proofErr w:type="spellEnd"/>
      <w:r w:rsidRPr="00E46054">
        <w:rPr>
          <w:sz w:val="25"/>
          <w:szCs w:val="25"/>
        </w:rPr>
        <w:t>» вошло в состав ОАО «НК «Роснефть» и кроме розничной продажи нефтепродуктов начало осуществлять оптовую продажу нефтепродуктов в регионе. ООО «Татнефть-АЗС Центр» Ульяновский филиал  также осуществляет  деятельность на оптовом рынке нефтепродуктов в регионе. В конце 2016 года ООО «</w:t>
      </w:r>
      <w:proofErr w:type="spellStart"/>
      <w:r w:rsidRPr="00E46054">
        <w:rPr>
          <w:sz w:val="25"/>
          <w:szCs w:val="25"/>
        </w:rPr>
        <w:t>Башнефть</w:t>
      </w:r>
      <w:proofErr w:type="spellEnd"/>
      <w:r w:rsidRPr="00E46054">
        <w:rPr>
          <w:sz w:val="25"/>
          <w:szCs w:val="25"/>
        </w:rPr>
        <w:t>-Розница» вошло в состав ПАО "НК "Роснефть".</w:t>
      </w:r>
    </w:p>
    <w:p w:rsidR="001A4995" w:rsidRPr="001A4995" w:rsidRDefault="001A4995" w:rsidP="004733F4">
      <w:pPr>
        <w:pStyle w:val="20"/>
        <w:jc w:val="center"/>
        <w:rPr>
          <w:b/>
          <w:sz w:val="25"/>
          <w:szCs w:val="25"/>
          <w:u w:val="single"/>
        </w:rPr>
      </w:pPr>
    </w:p>
    <w:p w:rsidR="00B95DCA" w:rsidRPr="001A4995" w:rsidRDefault="00B95DCA" w:rsidP="004733F4">
      <w:pPr>
        <w:pStyle w:val="20"/>
        <w:jc w:val="center"/>
        <w:rPr>
          <w:b/>
          <w:sz w:val="25"/>
          <w:szCs w:val="25"/>
          <w:u w:val="single"/>
        </w:rPr>
      </w:pPr>
      <w:r w:rsidRPr="001A4995">
        <w:rPr>
          <w:b/>
          <w:sz w:val="25"/>
          <w:szCs w:val="25"/>
          <w:u w:val="single"/>
        </w:rPr>
        <w:t>Расчет объема товарного рынка и долей хозяйствующих субъектов на рынке</w:t>
      </w:r>
    </w:p>
    <w:p w:rsidR="00B95DCA" w:rsidRPr="001A4995" w:rsidRDefault="00B95DCA" w:rsidP="006553E2">
      <w:pPr>
        <w:pStyle w:val="20"/>
        <w:rPr>
          <w:sz w:val="25"/>
          <w:szCs w:val="25"/>
          <w:u w:val="single"/>
        </w:rPr>
      </w:pPr>
    </w:p>
    <w:p w:rsidR="00B95DCA" w:rsidRPr="001A4995" w:rsidRDefault="00B95DCA" w:rsidP="006553E2">
      <w:pPr>
        <w:pStyle w:val="20"/>
        <w:rPr>
          <w:sz w:val="25"/>
          <w:szCs w:val="25"/>
        </w:rPr>
      </w:pPr>
      <w:r w:rsidRPr="001A4995">
        <w:rPr>
          <w:sz w:val="25"/>
          <w:szCs w:val="25"/>
        </w:rPr>
        <w:t>Показателем для расчета объема товарного рынка и долей хозяйствующих субъектов на рынке является объем продаж на рассматриваемом товарном рынке в натуральных показателях (в литрах).</w:t>
      </w:r>
    </w:p>
    <w:p w:rsidR="00B95DCA" w:rsidRPr="001A4995" w:rsidRDefault="00B95DCA" w:rsidP="006553E2">
      <w:pPr>
        <w:pStyle w:val="20"/>
        <w:rPr>
          <w:sz w:val="25"/>
          <w:szCs w:val="25"/>
        </w:rPr>
      </w:pPr>
      <w:r w:rsidRPr="001A4995">
        <w:rPr>
          <w:sz w:val="25"/>
          <w:szCs w:val="25"/>
        </w:rPr>
        <w:t>Объем рынка определяется как сумма объемов продаж нефтепродуктов хозяйствующими субъектами, действующими на рассматриваемом товарном рынке.</w:t>
      </w:r>
    </w:p>
    <w:p w:rsidR="00B95DCA" w:rsidRPr="001A4995" w:rsidRDefault="00B95DCA" w:rsidP="006553E2">
      <w:pPr>
        <w:pStyle w:val="20"/>
        <w:rPr>
          <w:sz w:val="25"/>
          <w:szCs w:val="25"/>
        </w:rPr>
      </w:pPr>
      <w:r w:rsidRPr="001A4995">
        <w:rPr>
          <w:sz w:val="25"/>
          <w:szCs w:val="25"/>
        </w:rPr>
        <w:t xml:space="preserve">Доля хозяйствующего субъекта на товарном рынке рассчитывается как выраженное в процентах отношение показателя, характеризующего объем продаж нефтепродуктов,  данным хозяйствующим субъектом на </w:t>
      </w:r>
      <w:r w:rsidR="0066793A" w:rsidRPr="001A4995">
        <w:rPr>
          <w:sz w:val="25"/>
          <w:szCs w:val="25"/>
        </w:rPr>
        <w:t>исследуемый</w:t>
      </w:r>
      <w:r w:rsidRPr="001A4995">
        <w:rPr>
          <w:sz w:val="25"/>
          <w:szCs w:val="25"/>
        </w:rPr>
        <w:t xml:space="preserve"> товарный рынок, к показателю, характеризующему объем рассматриваемого товарного рынка. </w:t>
      </w:r>
    </w:p>
    <w:p w:rsidR="00B23203" w:rsidRDefault="00B23203" w:rsidP="006553E2">
      <w:pPr>
        <w:pStyle w:val="20"/>
        <w:rPr>
          <w:b/>
          <w:sz w:val="25"/>
          <w:szCs w:val="25"/>
        </w:rPr>
      </w:pPr>
      <w:r w:rsidRPr="001A4995">
        <w:rPr>
          <w:sz w:val="25"/>
          <w:szCs w:val="25"/>
        </w:rPr>
        <w:lastRenderedPageBreak/>
        <w:t>Расчет долей хозяйствующих субъекто</w:t>
      </w:r>
      <w:r w:rsidR="000D12A9">
        <w:rPr>
          <w:sz w:val="25"/>
          <w:szCs w:val="25"/>
        </w:rPr>
        <w:t>в, действующих на рассматриваемом</w:t>
      </w:r>
      <w:r w:rsidRPr="001A4995">
        <w:rPr>
          <w:sz w:val="25"/>
          <w:szCs w:val="25"/>
        </w:rPr>
        <w:t xml:space="preserve"> рынке, представлен в</w:t>
      </w:r>
      <w:r w:rsidR="00A30855">
        <w:rPr>
          <w:sz w:val="25"/>
          <w:szCs w:val="25"/>
        </w:rPr>
        <w:t xml:space="preserve"> таб</w:t>
      </w:r>
      <w:r w:rsidR="007412BB">
        <w:rPr>
          <w:sz w:val="25"/>
          <w:szCs w:val="25"/>
        </w:rPr>
        <w:t>лиц</w:t>
      </w:r>
      <w:r w:rsidR="000D12A9">
        <w:rPr>
          <w:sz w:val="25"/>
          <w:szCs w:val="25"/>
        </w:rPr>
        <w:t>ах 1,2.</w:t>
      </w:r>
    </w:p>
    <w:p w:rsidR="000D12A9" w:rsidRDefault="000D12A9" w:rsidP="006553E2">
      <w:pPr>
        <w:pStyle w:val="20"/>
        <w:rPr>
          <w:b/>
          <w:sz w:val="25"/>
          <w:szCs w:val="25"/>
        </w:rPr>
      </w:pPr>
    </w:p>
    <w:p w:rsidR="00A30855" w:rsidRPr="000D12A9" w:rsidRDefault="000D12A9" w:rsidP="006553E2">
      <w:pPr>
        <w:pStyle w:val="20"/>
        <w:rPr>
          <w:sz w:val="25"/>
          <w:szCs w:val="25"/>
        </w:rPr>
      </w:pPr>
      <w:r w:rsidRPr="000D12A9">
        <w:rPr>
          <w:sz w:val="25"/>
          <w:szCs w:val="25"/>
        </w:rPr>
        <w:t xml:space="preserve">Таблица 1. Географические границы </w:t>
      </w:r>
      <w:r>
        <w:rPr>
          <w:sz w:val="25"/>
          <w:szCs w:val="25"/>
        </w:rPr>
        <w:t xml:space="preserve">г. </w:t>
      </w:r>
      <w:r w:rsidRPr="000D12A9">
        <w:rPr>
          <w:sz w:val="25"/>
          <w:szCs w:val="25"/>
        </w:rPr>
        <w:t>Ульяновск</w:t>
      </w:r>
      <w:r>
        <w:rPr>
          <w:sz w:val="25"/>
          <w:szCs w:val="25"/>
        </w:rPr>
        <w:t>а.</w:t>
      </w:r>
    </w:p>
    <w:p w:rsidR="007412BB" w:rsidRDefault="007412BB" w:rsidP="006553E2">
      <w:pPr>
        <w:pStyle w:val="20"/>
        <w:rPr>
          <w:b/>
          <w:sz w:val="25"/>
          <w:szCs w:val="25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62"/>
        <w:gridCol w:w="1881"/>
        <w:gridCol w:w="1045"/>
        <w:gridCol w:w="1045"/>
        <w:gridCol w:w="1035"/>
        <w:gridCol w:w="928"/>
      </w:tblGrid>
      <w:tr w:rsidR="007412BB" w:rsidRPr="007412BB" w:rsidTr="007412BB">
        <w:trPr>
          <w:trHeight w:val="62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2BB" w:rsidRPr="007412BB" w:rsidRDefault="007412BB" w:rsidP="00A30855">
            <w:pPr>
              <w:rPr>
                <w:color w:val="000000"/>
                <w:sz w:val="22"/>
                <w:szCs w:val="22"/>
              </w:rPr>
            </w:pPr>
            <w:r w:rsidRPr="007412BB">
              <w:rPr>
                <w:color w:val="000000"/>
                <w:sz w:val="22"/>
                <w:szCs w:val="22"/>
              </w:rPr>
              <w:t>Наименование продавца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2BB" w:rsidRPr="007412BB" w:rsidRDefault="007412BB" w:rsidP="000D12A9">
            <w:pPr>
              <w:rPr>
                <w:color w:val="000000"/>
                <w:sz w:val="22"/>
                <w:szCs w:val="22"/>
              </w:rPr>
            </w:pPr>
            <w:r w:rsidRPr="007412BB">
              <w:rPr>
                <w:color w:val="000000"/>
                <w:sz w:val="22"/>
                <w:szCs w:val="22"/>
              </w:rPr>
              <w:t xml:space="preserve">Принадлежность к </w:t>
            </w:r>
            <w:r w:rsidR="000D12A9">
              <w:rPr>
                <w:color w:val="000000"/>
                <w:sz w:val="22"/>
                <w:szCs w:val="22"/>
              </w:rPr>
              <w:t>ВИНК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2BB" w:rsidRPr="007412BB" w:rsidRDefault="007412BB" w:rsidP="00A30855">
            <w:pPr>
              <w:rPr>
                <w:color w:val="000000"/>
                <w:sz w:val="22"/>
                <w:szCs w:val="22"/>
              </w:rPr>
            </w:pPr>
            <w:r w:rsidRPr="007412BB">
              <w:rPr>
                <w:color w:val="000000"/>
                <w:sz w:val="22"/>
                <w:szCs w:val="22"/>
              </w:rPr>
              <w:t>доля рынка,</w:t>
            </w:r>
            <w:r w:rsidR="00646889">
              <w:rPr>
                <w:color w:val="000000"/>
                <w:sz w:val="22"/>
                <w:szCs w:val="22"/>
              </w:rPr>
              <w:t>%</w:t>
            </w:r>
          </w:p>
          <w:p w:rsidR="007412BB" w:rsidRPr="007412BB" w:rsidRDefault="007412BB" w:rsidP="00A30855">
            <w:pPr>
              <w:rPr>
                <w:color w:val="000000"/>
                <w:sz w:val="22"/>
                <w:szCs w:val="22"/>
              </w:rPr>
            </w:pPr>
            <w:r w:rsidRPr="007412BB">
              <w:rPr>
                <w:color w:val="000000"/>
                <w:sz w:val="22"/>
                <w:szCs w:val="22"/>
              </w:rPr>
              <w:t xml:space="preserve"> АИ </w:t>
            </w:r>
            <w:r w:rsidR="000D12A9">
              <w:rPr>
                <w:color w:val="000000"/>
                <w:sz w:val="22"/>
                <w:szCs w:val="22"/>
              </w:rPr>
              <w:t>-</w:t>
            </w:r>
            <w:r w:rsidRPr="007412B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2BB" w:rsidRPr="007412BB" w:rsidRDefault="007412BB" w:rsidP="007412BB">
            <w:pPr>
              <w:rPr>
                <w:color w:val="000000"/>
                <w:sz w:val="22"/>
                <w:szCs w:val="22"/>
              </w:rPr>
            </w:pPr>
            <w:r w:rsidRPr="007412BB">
              <w:rPr>
                <w:color w:val="000000"/>
                <w:sz w:val="22"/>
                <w:szCs w:val="22"/>
              </w:rPr>
              <w:t>доля рынка,</w:t>
            </w:r>
            <w:r w:rsidR="00646889">
              <w:rPr>
                <w:color w:val="000000"/>
                <w:sz w:val="22"/>
                <w:szCs w:val="22"/>
              </w:rPr>
              <w:t>%</w:t>
            </w:r>
          </w:p>
          <w:p w:rsidR="007412BB" w:rsidRPr="007412BB" w:rsidRDefault="007412BB" w:rsidP="007412BB">
            <w:pPr>
              <w:rPr>
                <w:color w:val="000000"/>
                <w:sz w:val="22"/>
                <w:szCs w:val="22"/>
              </w:rPr>
            </w:pPr>
            <w:r w:rsidRPr="007412BB">
              <w:rPr>
                <w:color w:val="000000"/>
                <w:sz w:val="22"/>
                <w:szCs w:val="22"/>
              </w:rPr>
              <w:t xml:space="preserve"> АИ </w:t>
            </w:r>
            <w:r w:rsidR="000D12A9">
              <w:rPr>
                <w:color w:val="000000"/>
                <w:sz w:val="22"/>
                <w:szCs w:val="22"/>
              </w:rPr>
              <w:t>-</w:t>
            </w:r>
            <w:r w:rsidRPr="007412BB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2BB" w:rsidRPr="007412BB" w:rsidRDefault="007412BB" w:rsidP="007412BB">
            <w:pPr>
              <w:rPr>
                <w:color w:val="000000"/>
                <w:sz w:val="22"/>
                <w:szCs w:val="22"/>
              </w:rPr>
            </w:pPr>
            <w:r w:rsidRPr="007412BB">
              <w:rPr>
                <w:color w:val="000000"/>
                <w:sz w:val="22"/>
                <w:szCs w:val="22"/>
              </w:rPr>
              <w:t>доля рынка,</w:t>
            </w:r>
            <w:r w:rsidR="00646889">
              <w:rPr>
                <w:color w:val="000000"/>
                <w:sz w:val="22"/>
                <w:szCs w:val="22"/>
              </w:rPr>
              <w:t>%</w:t>
            </w:r>
          </w:p>
          <w:p w:rsidR="007412BB" w:rsidRPr="007412BB" w:rsidRDefault="007412BB" w:rsidP="000D12A9">
            <w:pPr>
              <w:rPr>
                <w:color w:val="000000"/>
                <w:sz w:val="22"/>
                <w:szCs w:val="22"/>
              </w:rPr>
            </w:pPr>
            <w:r w:rsidRPr="007412BB">
              <w:rPr>
                <w:color w:val="000000"/>
                <w:sz w:val="22"/>
                <w:szCs w:val="22"/>
              </w:rPr>
              <w:t xml:space="preserve"> АИ</w:t>
            </w:r>
            <w:r w:rsidR="000D12A9">
              <w:rPr>
                <w:color w:val="000000"/>
                <w:sz w:val="22"/>
                <w:szCs w:val="22"/>
              </w:rPr>
              <w:t>-9</w:t>
            </w:r>
            <w:r w:rsidRPr="007412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2BB" w:rsidRPr="007412BB" w:rsidRDefault="007412BB" w:rsidP="000D12A9">
            <w:pPr>
              <w:rPr>
                <w:color w:val="000000"/>
                <w:sz w:val="22"/>
                <w:szCs w:val="22"/>
              </w:rPr>
            </w:pPr>
            <w:r w:rsidRPr="007412BB">
              <w:rPr>
                <w:color w:val="000000"/>
                <w:sz w:val="22"/>
                <w:szCs w:val="22"/>
              </w:rPr>
              <w:t xml:space="preserve">доля рынка, </w:t>
            </w:r>
            <w:r w:rsidR="00646889">
              <w:rPr>
                <w:color w:val="000000"/>
                <w:sz w:val="22"/>
                <w:szCs w:val="22"/>
              </w:rPr>
              <w:t xml:space="preserve">%, </w:t>
            </w:r>
            <w:r w:rsidRPr="007412BB">
              <w:rPr>
                <w:color w:val="000000"/>
                <w:sz w:val="22"/>
                <w:szCs w:val="22"/>
              </w:rPr>
              <w:t>АИ</w:t>
            </w:r>
            <w:r w:rsidR="000D12A9">
              <w:rPr>
                <w:color w:val="000000"/>
                <w:sz w:val="22"/>
                <w:szCs w:val="22"/>
              </w:rPr>
              <w:t>-</w:t>
            </w:r>
            <w:r w:rsidRPr="007412BB">
              <w:rPr>
                <w:color w:val="000000"/>
                <w:sz w:val="22"/>
                <w:szCs w:val="22"/>
              </w:rPr>
              <w:t>98</w:t>
            </w:r>
          </w:p>
        </w:tc>
      </w:tr>
      <w:tr w:rsidR="000D12A9" w:rsidRPr="007412BB" w:rsidTr="00665EF5">
        <w:trPr>
          <w:trHeight w:val="62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A9" w:rsidRPr="00A30855" w:rsidRDefault="000D12A9" w:rsidP="00A30855">
            <w:pPr>
              <w:rPr>
                <w:color w:val="000000"/>
                <w:sz w:val="22"/>
                <w:szCs w:val="22"/>
              </w:rPr>
            </w:pPr>
            <w:r w:rsidRPr="00A30855">
              <w:rPr>
                <w:color w:val="000000"/>
                <w:sz w:val="22"/>
                <w:szCs w:val="22"/>
              </w:rPr>
              <w:t>АО "</w:t>
            </w:r>
            <w:proofErr w:type="spellStart"/>
            <w:r w:rsidRPr="00A30855">
              <w:rPr>
                <w:color w:val="000000"/>
                <w:sz w:val="22"/>
                <w:szCs w:val="22"/>
              </w:rPr>
              <w:t>Ульяновскнефтепродукт</w:t>
            </w:r>
            <w:proofErr w:type="spellEnd"/>
            <w:r w:rsidRPr="00A3085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A9" w:rsidRPr="00A30855" w:rsidRDefault="000D12A9" w:rsidP="00A30855">
            <w:pPr>
              <w:rPr>
                <w:color w:val="000000"/>
                <w:sz w:val="22"/>
                <w:szCs w:val="22"/>
              </w:rPr>
            </w:pPr>
            <w:r w:rsidRPr="00A30855">
              <w:rPr>
                <w:color w:val="000000"/>
                <w:sz w:val="22"/>
                <w:szCs w:val="22"/>
              </w:rPr>
              <w:t>ПАО "</w:t>
            </w:r>
            <w:proofErr w:type="spellStart"/>
            <w:r w:rsidRPr="00A30855">
              <w:rPr>
                <w:color w:val="000000"/>
                <w:sz w:val="22"/>
                <w:szCs w:val="22"/>
              </w:rPr>
              <w:t>Н</w:t>
            </w:r>
            <w:proofErr w:type="gramStart"/>
            <w:r w:rsidRPr="00A30855">
              <w:rPr>
                <w:color w:val="000000"/>
                <w:sz w:val="22"/>
                <w:szCs w:val="22"/>
              </w:rPr>
              <w:t>К"</w:t>
            </w:r>
            <w:proofErr w:type="gramEnd"/>
            <w:r w:rsidRPr="00A30855">
              <w:rPr>
                <w:color w:val="000000"/>
                <w:sz w:val="22"/>
                <w:szCs w:val="22"/>
              </w:rPr>
              <w:t>Роснефть</w:t>
            </w:r>
            <w:proofErr w:type="spellEnd"/>
            <w:r w:rsidRPr="00A3085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D12A9" w:rsidRPr="007412BB" w:rsidRDefault="000D12A9" w:rsidP="00A3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D12A9" w:rsidRPr="007412BB" w:rsidRDefault="000D12A9" w:rsidP="00A3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32,67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D12A9" w:rsidRPr="007412BB" w:rsidRDefault="00646889" w:rsidP="00A3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D12A9" w:rsidRPr="007412BB" w:rsidRDefault="00646889" w:rsidP="00A3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2A9" w:rsidRPr="007412BB" w:rsidTr="00665EF5">
        <w:trPr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A9" w:rsidRPr="00A30855" w:rsidRDefault="000D12A9" w:rsidP="00A30855">
            <w:pPr>
              <w:rPr>
                <w:color w:val="000000"/>
                <w:sz w:val="22"/>
                <w:szCs w:val="22"/>
              </w:rPr>
            </w:pPr>
            <w:r w:rsidRPr="00A30855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30855">
              <w:rPr>
                <w:color w:val="000000"/>
                <w:sz w:val="22"/>
                <w:szCs w:val="22"/>
              </w:rPr>
              <w:t>Башнефть</w:t>
            </w:r>
            <w:proofErr w:type="spellEnd"/>
            <w:r w:rsidRPr="00A30855">
              <w:rPr>
                <w:color w:val="000000"/>
                <w:sz w:val="22"/>
                <w:szCs w:val="22"/>
              </w:rPr>
              <w:t>-Розница"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2A9" w:rsidRPr="00A30855" w:rsidRDefault="000D12A9" w:rsidP="00A30855">
            <w:pPr>
              <w:rPr>
                <w:color w:val="000000"/>
                <w:sz w:val="22"/>
                <w:szCs w:val="22"/>
              </w:rPr>
            </w:pPr>
            <w:r w:rsidRPr="00A30855">
              <w:rPr>
                <w:color w:val="000000"/>
                <w:sz w:val="22"/>
                <w:szCs w:val="22"/>
              </w:rPr>
              <w:t>ПАО "</w:t>
            </w:r>
            <w:proofErr w:type="spellStart"/>
            <w:r w:rsidRPr="00A30855">
              <w:rPr>
                <w:color w:val="000000"/>
                <w:sz w:val="22"/>
                <w:szCs w:val="22"/>
              </w:rPr>
              <w:t>Н</w:t>
            </w:r>
            <w:proofErr w:type="gramStart"/>
            <w:r w:rsidRPr="00A30855">
              <w:rPr>
                <w:color w:val="000000"/>
                <w:sz w:val="22"/>
                <w:szCs w:val="22"/>
              </w:rPr>
              <w:t>К"</w:t>
            </w:r>
            <w:proofErr w:type="gramEnd"/>
            <w:r w:rsidRPr="00A30855">
              <w:rPr>
                <w:color w:val="000000"/>
                <w:sz w:val="22"/>
                <w:szCs w:val="22"/>
              </w:rPr>
              <w:t>Роснефть</w:t>
            </w:r>
            <w:proofErr w:type="spellEnd"/>
            <w:r w:rsidRPr="00A3085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A9" w:rsidRPr="007412BB" w:rsidRDefault="000D12A9" w:rsidP="00A3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A9" w:rsidRPr="007412BB" w:rsidRDefault="000D12A9" w:rsidP="00A3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A9" w:rsidRPr="007412BB" w:rsidRDefault="000D12A9" w:rsidP="00A3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A9" w:rsidRPr="007412BB" w:rsidRDefault="000D12A9" w:rsidP="00A30855">
            <w:pPr>
              <w:rPr>
                <w:color w:val="000000"/>
                <w:sz w:val="22"/>
                <w:szCs w:val="22"/>
              </w:rPr>
            </w:pPr>
          </w:p>
        </w:tc>
      </w:tr>
      <w:tr w:rsidR="007412BB" w:rsidRPr="007412BB" w:rsidTr="007412BB">
        <w:trPr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BB" w:rsidRPr="00A30855" w:rsidRDefault="007412BB" w:rsidP="00A30855">
            <w:pPr>
              <w:rPr>
                <w:color w:val="000000"/>
                <w:sz w:val="22"/>
                <w:szCs w:val="22"/>
              </w:rPr>
            </w:pPr>
            <w:r w:rsidRPr="00A30855">
              <w:rPr>
                <w:color w:val="000000"/>
                <w:sz w:val="22"/>
                <w:szCs w:val="22"/>
              </w:rPr>
              <w:t>ООО "Татнефть-АЗС</w:t>
            </w:r>
            <w:r w:rsidR="000D12A9">
              <w:rPr>
                <w:color w:val="000000"/>
                <w:sz w:val="22"/>
                <w:szCs w:val="22"/>
              </w:rPr>
              <w:t xml:space="preserve"> </w:t>
            </w:r>
            <w:r w:rsidRPr="00A30855">
              <w:rPr>
                <w:color w:val="000000"/>
                <w:sz w:val="22"/>
                <w:szCs w:val="22"/>
              </w:rPr>
              <w:t>Центр"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BB" w:rsidRPr="00A30855" w:rsidRDefault="007412BB" w:rsidP="00A30855">
            <w:pPr>
              <w:rPr>
                <w:color w:val="000000"/>
                <w:sz w:val="22"/>
                <w:szCs w:val="22"/>
              </w:rPr>
            </w:pPr>
            <w:r w:rsidRPr="00A30855">
              <w:rPr>
                <w:color w:val="000000"/>
                <w:sz w:val="22"/>
                <w:szCs w:val="22"/>
              </w:rPr>
              <w:t>ПАО "Татнефть"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2BB" w:rsidRPr="007412BB" w:rsidRDefault="000D12A9" w:rsidP="00A3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2BB" w:rsidRPr="007412BB" w:rsidRDefault="000D12A9" w:rsidP="00A3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2BB" w:rsidRPr="007412BB" w:rsidRDefault="00646889" w:rsidP="00A3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2BB" w:rsidRPr="007412BB" w:rsidRDefault="00646889" w:rsidP="00A3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46889" w:rsidRPr="007412BB" w:rsidTr="000D12A9">
        <w:trPr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889" w:rsidRPr="000D12A9" w:rsidRDefault="00646889" w:rsidP="000D12A9">
            <w:pPr>
              <w:rPr>
                <w:sz w:val="22"/>
                <w:szCs w:val="22"/>
              </w:rPr>
            </w:pPr>
            <w:r w:rsidRPr="000D12A9">
              <w:rPr>
                <w:sz w:val="22"/>
                <w:szCs w:val="22"/>
              </w:rPr>
              <w:t>ООО "</w:t>
            </w:r>
            <w:proofErr w:type="spellStart"/>
            <w:r w:rsidRPr="000D12A9">
              <w:rPr>
                <w:sz w:val="22"/>
                <w:szCs w:val="22"/>
              </w:rPr>
              <w:t>Ульяновскцентргаз</w:t>
            </w:r>
            <w:proofErr w:type="spellEnd"/>
            <w:r w:rsidRPr="000D12A9">
              <w:rPr>
                <w:sz w:val="22"/>
                <w:szCs w:val="22"/>
              </w:rPr>
              <w:t>"</w:t>
            </w:r>
          </w:p>
          <w:p w:rsidR="00646889" w:rsidRPr="00A30855" w:rsidRDefault="00646889" w:rsidP="000D12A9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889" w:rsidRPr="00A30855" w:rsidRDefault="00646889" w:rsidP="00A30855">
            <w:pPr>
              <w:rPr>
                <w:sz w:val="22"/>
                <w:szCs w:val="22"/>
              </w:rPr>
            </w:pPr>
            <w:r w:rsidRPr="00A30855">
              <w:rPr>
                <w:sz w:val="22"/>
                <w:szCs w:val="22"/>
              </w:rPr>
              <w:t>Независимый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737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40,57</w:t>
            </w:r>
          </w:p>
        </w:tc>
      </w:tr>
      <w:tr w:rsidR="00646889" w:rsidRPr="007412BB" w:rsidTr="000D12A9">
        <w:trPr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889" w:rsidRPr="000D12A9" w:rsidRDefault="00646889" w:rsidP="000D12A9">
            <w:pPr>
              <w:rPr>
                <w:sz w:val="22"/>
                <w:szCs w:val="22"/>
              </w:rPr>
            </w:pPr>
            <w:r w:rsidRPr="000D12A9">
              <w:rPr>
                <w:sz w:val="22"/>
                <w:szCs w:val="22"/>
              </w:rPr>
              <w:t>ООО "Л-</w:t>
            </w:r>
            <w:proofErr w:type="spellStart"/>
            <w:r w:rsidRPr="000D12A9">
              <w:rPr>
                <w:sz w:val="22"/>
                <w:szCs w:val="22"/>
              </w:rPr>
              <w:t>Ульяновскнефтепродукт</w:t>
            </w:r>
            <w:proofErr w:type="spellEnd"/>
            <w:r w:rsidRPr="000D12A9">
              <w:rPr>
                <w:sz w:val="22"/>
                <w:szCs w:val="22"/>
              </w:rPr>
              <w:t>"</w:t>
            </w:r>
          </w:p>
          <w:p w:rsidR="00646889" w:rsidRPr="00A30855" w:rsidRDefault="00646889" w:rsidP="00A3085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889" w:rsidRPr="00A30855" w:rsidRDefault="00646889" w:rsidP="00A30855">
            <w:pPr>
              <w:rPr>
                <w:color w:val="000000"/>
                <w:sz w:val="22"/>
                <w:szCs w:val="22"/>
              </w:rPr>
            </w:pPr>
            <w:r w:rsidRPr="00A30855">
              <w:rPr>
                <w:color w:val="000000"/>
                <w:sz w:val="22"/>
                <w:szCs w:val="22"/>
              </w:rPr>
              <w:t>Независимый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7371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59,43</w:t>
            </w:r>
          </w:p>
        </w:tc>
      </w:tr>
      <w:tr w:rsidR="00646889" w:rsidRPr="007412BB" w:rsidTr="000D12A9">
        <w:trPr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889" w:rsidRPr="000D12A9" w:rsidRDefault="00646889" w:rsidP="000D12A9">
            <w:pPr>
              <w:rPr>
                <w:sz w:val="22"/>
                <w:szCs w:val="22"/>
              </w:rPr>
            </w:pPr>
            <w:r w:rsidRPr="000D12A9">
              <w:rPr>
                <w:sz w:val="22"/>
                <w:szCs w:val="22"/>
              </w:rPr>
              <w:t>ООО "</w:t>
            </w:r>
            <w:proofErr w:type="spellStart"/>
            <w:r w:rsidRPr="000D12A9">
              <w:rPr>
                <w:sz w:val="22"/>
                <w:szCs w:val="22"/>
              </w:rPr>
              <w:t>Симбир-Петрол</w:t>
            </w:r>
            <w:proofErr w:type="spellEnd"/>
            <w:r w:rsidRPr="000D12A9">
              <w:rPr>
                <w:sz w:val="22"/>
                <w:szCs w:val="22"/>
              </w:rPr>
              <w:t>"</w:t>
            </w:r>
          </w:p>
          <w:p w:rsidR="00646889" w:rsidRPr="00A30855" w:rsidRDefault="00646889" w:rsidP="00A3085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889" w:rsidRPr="00A30855" w:rsidRDefault="00646889" w:rsidP="00A30855">
            <w:pPr>
              <w:rPr>
                <w:sz w:val="22"/>
                <w:szCs w:val="22"/>
              </w:rPr>
            </w:pPr>
            <w:r w:rsidRPr="00A30855">
              <w:rPr>
                <w:sz w:val="22"/>
                <w:szCs w:val="22"/>
              </w:rPr>
              <w:t>Независимый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737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6889" w:rsidRPr="007412BB" w:rsidTr="00E67FEB">
        <w:trPr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889" w:rsidRPr="000D12A9" w:rsidRDefault="00646889" w:rsidP="000D12A9">
            <w:pPr>
              <w:rPr>
                <w:sz w:val="22"/>
                <w:szCs w:val="22"/>
              </w:rPr>
            </w:pPr>
            <w:r w:rsidRPr="000D12A9">
              <w:rPr>
                <w:sz w:val="22"/>
                <w:szCs w:val="22"/>
              </w:rPr>
              <w:t>ООО "Роста"</w:t>
            </w:r>
          </w:p>
          <w:p w:rsidR="00646889" w:rsidRPr="00A30855" w:rsidRDefault="00646889" w:rsidP="00A3085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889" w:rsidRPr="00A30855" w:rsidRDefault="00646889" w:rsidP="00A30855">
            <w:pPr>
              <w:rPr>
                <w:sz w:val="22"/>
                <w:szCs w:val="22"/>
              </w:rPr>
            </w:pPr>
            <w:r w:rsidRPr="00A30855">
              <w:rPr>
                <w:sz w:val="22"/>
                <w:szCs w:val="22"/>
              </w:rPr>
              <w:t>Независимый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737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</w:t>
            </w:r>
          </w:p>
          <w:p w:rsidR="00646889" w:rsidRPr="007412BB" w:rsidRDefault="00646889" w:rsidP="0073713E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46889" w:rsidRPr="007412BB" w:rsidRDefault="005D511D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6889" w:rsidRPr="007412BB" w:rsidTr="00E67FEB">
        <w:trPr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889" w:rsidRPr="000D12A9" w:rsidRDefault="00646889" w:rsidP="000D12A9">
            <w:pPr>
              <w:rPr>
                <w:sz w:val="22"/>
                <w:szCs w:val="22"/>
              </w:rPr>
            </w:pPr>
            <w:r w:rsidRPr="000D12A9">
              <w:rPr>
                <w:sz w:val="22"/>
                <w:szCs w:val="22"/>
              </w:rPr>
              <w:t>ООО "</w:t>
            </w:r>
            <w:proofErr w:type="spellStart"/>
            <w:r w:rsidRPr="000D12A9">
              <w:rPr>
                <w:sz w:val="22"/>
                <w:szCs w:val="22"/>
              </w:rPr>
              <w:t>Криста</w:t>
            </w:r>
            <w:proofErr w:type="spellEnd"/>
            <w:r w:rsidRPr="000D12A9">
              <w:rPr>
                <w:sz w:val="22"/>
                <w:szCs w:val="22"/>
              </w:rPr>
              <w:t>"</w:t>
            </w:r>
          </w:p>
          <w:p w:rsidR="00646889" w:rsidRPr="00A30855" w:rsidRDefault="00646889" w:rsidP="00A3085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889" w:rsidRPr="00A30855" w:rsidRDefault="00646889" w:rsidP="00A30855">
            <w:pPr>
              <w:rPr>
                <w:sz w:val="22"/>
                <w:szCs w:val="22"/>
              </w:rPr>
            </w:pPr>
            <w:r w:rsidRPr="00A30855">
              <w:rPr>
                <w:sz w:val="22"/>
                <w:szCs w:val="22"/>
              </w:rPr>
              <w:t>Независимый</w:t>
            </w: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</w:p>
        </w:tc>
      </w:tr>
      <w:tr w:rsidR="00646889" w:rsidRPr="007412BB" w:rsidTr="000D12A9">
        <w:trPr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889" w:rsidRPr="000D12A9" w:rsidRDefault="00646889" w:rsidP="000D12A9">
            <w:pPr>
              <w:rPr>
                <w:sz w:val="22"/>
                <w:szCs w:val="22"/>
              </w:rPr>
            </w:pPr>
            <w:r w:rsidRPr="000D12A9">
              <w:rPr>
                <w:sz w:val="22"/>
                <w:szCs w:val="22"/>
              </w:rPr>
              <w:t>ООО "</w:t>
            </w:r>
            <w:proofErr w:type="spellStart"/>
            <w:r w:rsidRPr="000D12A9">
              <w:rPr>
                <w:sz w:val="22"/>
                <w:szCs w:val="22"/>
              </w:rPr>
              <w:t>Промлига</w:t>
            </w:r>
            <w:proofErr w:type="spellEnd"/>
            <w:r w:rsidRPr="000D12A9">
              <w:rPr>
                <w:sz w:val="22"/>
                <w:szCs w:val="22"/>
              </w:rPr>
              <w:t>"</w:t>
            </w:r>
          </w:p>
          <w:p w:rsidR="00646889" w:rsidRPr="00A30855" w:rsidRDefault="00646889" w:rsidP="00A3085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889" w:rsidRPr="00A30855" w:rsidRDefault="00646889" w:rsidP="00A30855">
            <w:pPr>
              <w:rPr>
                <w:color w:val="000000"/>
                <w:sz w:val="22"/>
                <w:szCs w:val="22"/>
              </w:rPr>
            </w:pPr>
            <w:r w:rsidRPr="00A30855">
              <w:rPr>
                <w:color w:val="000000"/>
                <w:sz w:val="22"/>
                <w:szCs w:val="22"/>
              </w:rPr>
              <w:t>Независимый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7371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5D511D" w:rsidP="00A3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46889" w:rsidRPr="007412BB" w:rsidTr="000D12A9">
        <w:trPr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889" w:rsidRPr="000D12A9" w:rsidRDefault="00646889" w:rsidP="000D12A9">
            <w:pPr>
              <w:rPr>
                <w:sz w:val="22"/>
                <w:szCs w:val="22"/>
              </w:rPr>
            </w:pPr>
            <w:r w:rsidRPr="000D12A9">
              <w:rPr>
                <w:sz w:val="22"/>
                <w:szCs w:val="22"/>
              </w:rPr>
              <w:t>ООО "</w:t>
            </w:r>
            <w:proofErr w:type="spellStart"/>
            <w:r w:rsidRPr="000D12A9">
              <w:rPr>
                <w:sz w:val="22"/>
                <w:szCs w:val="22"/>
              </w:rPr>
              <w:t>Таиф</w:t>
            </w:r>
            <w:proofErr w:type="spellEnd"/>
            <w:r w:rsidRPr="000D12A9">
              <w:rPr>
                <w:sz w:val="22"/>
                <w:szCs w:val="22"/>
              </w:rPr>
              <w:t>-НК"</w:t>
            </w:r>
          </w:p>
          <w:p w:rsidR="00646889" w:rsidRPr="00A30855" w:rsidRDefault="00646889" w:rsidP="00A3085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889" w:rsidRPr="00A30855" w:rsidRDefault="00646889" w:rsidP="00A30855">
            <w:pPr>
              <w:rPr>
                <w:sz w:val="22"/>
                <w:szCs w:val="22"/>
              </w:rPr>
            </w:pPr>
            <w:r w:rsidRPr="00A30855">
              <w:rPr>
                <w:sz w:val="22"/>
                <w:szCs w:val="22"/>
              </w:rPr>
              <w:t>Независимый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5D511D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6889" w:rsidRPr="007412BB" w:rsidTr="000D12A9">
        <w:trPr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889" w:rsidRPr="000D12A9" w:rsidRDefault="00646889" w:rsidP="000D12A9">
            <w:pPr>
              <w:rPr>
                <w:sz w:val="22"/>
                <w:szCs w:val="22"/>
              </w:rPr>
            </w:pPr>
            <w:r w:rsidRPr="000D12A9">
              <w:rPr>
                <w:sz w:val="22"/>
                <w:szCs w:val="22"/>
              </w:rPr>
              <w:t xml:space="preserve">ИП </w:t>
            </w:r>
            <w:proofErr w:type="spellStart"/>
            <w:r w:rsidRPr="000D12A9">
              <w:rPr>
                <w:sz w:val="22"/>
                <w:szCs w:val="22"/>
              </w:rPr>
              <w:t>Кияйкин</w:t>
            </w:r>
            <w:proofErr w:type="spellEnd"/>
            <w:r w:rsidRPr="000D12A9">
              <w:rPr>
                <w:sz w:val="22"/>
                <w:szCs w:val="22"/>
              </w:rPr>
              <w:t xml:space="preserve"> А.В.</w:t>
            </w:r>
          </w:p>
          <w:p w:rsidR="00646889" w:rsidRPr="00A30855" w:rsidRDefault="00646889" w:rsidP="00A3085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889" w:rsidRPr="00A30855" w:rsidRDefault="00646889" w:rsidP="00A30855">
            <w:pPr>
              <w:rPr>
                <w:sz w:val="22"/>
                <w:szCs w:val="22"/>
              </w:rPr>
            </w:pPr>
            <w:r w:rsidRPr="00A30855">
              <w:rPr>
                <w:sz w:val="22"/>
                <w:szCs w:val="22"/>
              </w:rPr>
              <w:t>Независимый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5D511D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6889" w:rsidRPr="007412BB" w:rsidTr="000D12A9">
        <w:trPr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889" w:rsidRPr="000D12A9" w:rsidRDefault="00646889" w:rsidP="000D12A9">
            <w:pPr>
              <w:rPr>
                <w:sz w:val="22"/>
                <w:szCs w:val="22"/>
              </w:rPr>
            </w:pPr>
            <w:r w:rsidRPr="000D12A9">
              <w:rPr>
                <w:sz w:val="22"/>
                <w:szCs w:val="22"/>
              </w:rPr>
              <w:t xml:space="preserve">ИП </w:t>
            </w:r>
            <w:proofErr w:type="spellStart"/>
            <w:r w:rsidRPr="000D12A9">
              <w:rPr>
                <w:sz w:val="22"/>
                <w:szCs w:val="22"/>
              </w:rPr>
              <w:t>Времин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646889" w:rsidRPr="00A30855" w:rsidRDefault="00646889" w:rsidP="00A3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889" w:rsidRPr="00A30855" w:rsidRDefault="00646889" w:rsidP="00A30855">
            <w:pPr>
              <w:rPr>
                <w:color w:val="000000"/>
                <w:sz w:val="22"/>
                <w:szCs w:val="22"/>
              </w:rPr>
            </w:pPr>
            <w:r w:rsidRPr="00A30855">
              <w:rPr>
                <w:color w:val="000000"/>
                <w:sz w:val="22"/>
                <w:szCs w:val="22"/>
              </w:rPr>
              <w:t>Независимый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5D511D" w:rsidP="00A3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46889" w:rsidRPr="007412BB" w:rsidTr="000D12A9">
        <w:trPr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889" w:rsidRPr="000D12A9" w:rsidRDefault="00646889" w:rsidP="000D12A9">
            <w:pPr>
              <w:rPr>
                <w:sz w:val="22"/>
                <w:szCs w:val="22"/>
              </w:rPr>
            </w:pPr>
            <w:r w:rsidRPr="000D12A9">
              <w:rPr>
                <w:sz w:val="22"/>
                <w:szCs w:val="22"/>
              </w:rPr>
              <w:t>ИП Трофимов Ю.В.</w:t>
            </w:r>
          </w:p>
          <w:p w:rsidR="00646889" w:rsidRPr="00A30855" w:rsidRDefault="00646889" w:rsidP="00A30855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889" w:rsidRPr="00A30855" w:rsidRDefault="00646889" w:rsidP="00A30855">
            <w:pPr>
              <w:rPr>
                <w:sz w:val="22"/>
                <w:szCs w:val="22"/>
              </w:rPr>
            </w:pPr>
            <w:r w:rsidRPr="00A30855">
              <w:rPr>
                <w:sz w:val="22"/>
                <w:szCs w:val="22"/>
              </w:rPr>
              <w:t>Независимый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5D511D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6889" w:rsidRPr="007412BB" w:rsidTr="000D12A9">
        <w:trPr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889" w:rsidRPr="00A30855" w:rsidRDefault="00646889" w:rsidP="00A30855">
            <w:pPr>
              <w:rPr>
                <w:sz w:val="22"/>
                <w:szCs w:val="22"/>
              </w:rPr>
            </w:pPr>
            <w:r w:rsidRPr="000D12A9">
              <w:rPr>
                <w:sz w:val="22"/>
                <w:szCs w:val="22"/>
              </w:rPr>
              <w:t>ИП Елисеев А.С.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889" w:rsidRPr="00A30855" w:rsidRDefault="00646889" w:rsidP="00A30855">
            <w:pPr>
              <w:rPr>
                <w:sz w:val="22"/>
                <w:szCs w:val="22"/>
              </w:rPr>
            </w:pPr>
            <w:r w:rsidRPr="00A30855">
              <w:rPr>
                <w:sz w:val="22"/>
                <w:szCs w:val="22"/>
              </w:rPr>
              <w:t>Независимый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5D511D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6889" w:rsidRPr="007412BB" w:rsidTr="000D12A9">
        <w:trPr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889" w:rsidRPr="00A30855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889" w:rsidRPr="00A30855" w:rsidRDefault="00646889" w:rsidP="00A30855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646889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5D511D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889" w:rsidRPr="007412BB" w:rsidRDefault="005D511D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A30855" w:rsidRPr="005D511D" w:rsidRDefault="00A30855" w:rsidP="006553E2">
      <w:pPr>
        <w:pStyle w:val="20"/>
        <w:rPr>
          <w:sz w:val="25"/>
          <w:szCs w:val="25"/>
        </w:rPr>
      </w:pPr>
    </w:p>
    <w:p w:rsidR="001A4995" w:rsidRPr="005D511D" w:rsidRDefault="005D511D" w:rsidP="00B95DCA">
      <w:pPr>
        <w:pStyle w:val="20"/>
        <w:jc w:val="center"/>
        <w:rPr>
          <w:sz w:val="25"/>
          <w:szCs w:val="25"/>
        </w:rPr>
      </w:pPr>
      <w:r w:rsidRPr="005D511D">
        <w:rPr>
          <w:sz w:val="25"/>
          <w:szCs w:val="25"/>
        </w:rPr>
        <w:t>Таблица 2. Географические границы г. Димитровграда</w:t>
      </w:r>
    </w:p>
    <w:p w:rsidR="005D511D" w:rsidRDefault="005D511D" w:rsidP="00B95DCA">
      <w:pPr>
        <w:pStyle w:val="20"/>
        <w:jc w:val="center"/>
        <w:rPr>
          <w:b/>
          <w:sz w:val="25"/>
          <w:szCs w:val="25"/>
          <w:u w:val="single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861"/>
        <w:gridCol w:w="1812"/>
        <w:gridCol w:w="1059"/>
        <w:gridCol w:w="1060"/>
        <w:gridCol w:w="1060"/>
        <w:gridCol w:w="908"/>
      </w:tblGrid>
      <w:tr w:rsidR="005D511D" w:rsidRPr="005D511D" w:rsidTr="005D511D">
        <w:trPr>
          <w:trHeight w:val="623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1D" w:rsidRPr="007412BB" w:rsidRDefault="005D511D" w:rsidP="002E5474">
            <w:pPr>
              <w:rPr>
                <w:color w:val="000000"/>
                <w:sz w:val="22"/>
                <w:szCs w:val="22"/>
              </w:rPr>
            </w:pPr>
            <w:r w:rsidRPr="007412BB">
              <w:rPr>
                <w:color w:val="000000"/>
                <w:sz w:val="22"/>
                <w:szCs w:val="22"/>
              </w:rPr>
              <w:t>Наименование продавца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1D" w:rsidRPr="007412BB" w:rsidRDefault="005D511D" w:rsidP="002E5474">
            <w:pPr>
              <w:rPr>
                <w:color w:val="000000"/>
                <w:sz w:val="22"/>
                <w:szCs w:val="22"/>
              </w:rPr>
            </w:pPr>
            <w:r w:rsidRPr="007412BB">
              <w:rPr>
                <w:color w:val="000000"/>
                <w:sz w:val="22"/>
                <w:szCs w:val="22"/>
              </w:rPr>
              <w:t xml:space="preserve">Принадлежность к </w:t>
            </w:r>
            <w:r>
              <w:rPr>
                <w:color w:val="000000"/>
                <w:sz w:val="22"/>
                <w:szCs w:val="22"/>
              </w:rPr>
              <w:t>ВИНК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7412BB" w:rsidRDefault="005D511D" w:rsidP="002E5474">
            <w:pPr>
              <w:rPr>
                <w:color w:val="000000"/>
                <w:sz w:val="22"/>
                <w:szCs w:val="22"/>
              </w:rPr>
            </w:pPr>
            <w:r w:rsidRPr="007412BB">
              <w:rPr>
                <w:color w:val="000000"/>
                <w:sz w:val="22"/>
                <w:szCs w:val="22"/>
              </w:rPr>
              <w:t>доля рынка,</w:t>
            </w:r>
            <w:r>
              <w:rPr>
                <w:color w:val="000000"/>
                <w:sz w:val="22"/>
                <w:szCs w:val="22"/>
              </w:rPr>
              <w:t>%</w:t>
            </w:r>
          </w:p>
          <w:p w:rsidR="005D511D" w:rsidRPr="007412BB" w:rsidRDefault="005D511D" w:rsidP="002E5474">
            <w:pPr>
              <w:rPr>
                <w:color w:val="000000"/>
                <w:sz w:val="22"/>
                <w:szCs w:val="22"/>
              </w:rPr>
            </w:pPr>
            <w:r w:rsidRPr="007412BB">
              <w:rPr>
                <w:color w:val="000000"/>
                <w:sz w:val="22"/>
                <w:szCs w:val="22"/>
              </w:rPr>
              <w:t xml:space="preserve"> АИ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412B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7412BB" w:rsidRDefault="005D511D" w:rsidP="002E5474">
            <w:pPr>
              <w:rPr>
                <w:color w:val="000000"/>
                <w:sz w:val="22"/>
                <w:szCs w:val="22"/>
              </w:rPr>
            </w:pPr>
            <w:r w:rsidRPr="007412BB">
              <w:rPr>
                <w:color w:val="000000"/>
                <w:sz w:val="22"/>
                <w:szCs w:val="22"/>
              </w:rPr>
              <w:t>доля рынка,</w:t>
            </w:r>
            <w:r>
              <w:rPr>
                <w:color w:val="000000"/>
                <w:sz w:val="22"/>
                <w:szCs w:val="22"/>
              </w:rPr>
              <w:t>%</w:t>
            </w:r>
          </w:p>
          <w:p w:rsidR="005D511D" w:rsidRPr="007412BB" w:rsidRDefault="005D511D" w:rsidP="002E5474">
            <w:pPr>
              <w:rPr>
                <w:color w:val="000000"/>
                <w:sz w:val="22"/>
                <w:szCs w:val="22"/>
              </w:rPr>
            </w:pPr>
            <w:r w:rsidRPr="007412BB">
              <w:rPr>
                <w:color w:val="000000"/>
                <w:sz w:val="22"/>
                <w:szCs w:val="22"/>
              </w:rPr>
              <w:t xml:space="preserve"> АИ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412BB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7412BB" w:rsidRDefault="005D511D" w:rsidP="002E5474">
            <w:pPr>
              <w:rPr>
                <w:color w:val="000000"/>
                <w:sz w:val="22"/>
                <w:szCs w:val="22"/>
              </w:rPr>
            </w:pPr>
            <w:r w:rsidRPr="007412BB">
              <w:rPr>
                <w:color w:val="000000"/>
                <w:sz w:val="22"/>
                <w:szCs w:val="22"/>
              </w:rPr>
              <w:t>доля рынка,</w:t>
            </w:r>
            <w:r>
              <w:rPr>
                <w:color w:val="000000"/>
                <w:sz w:val="22"/>
                <w:szCs w:val="22"/>
              </w:rPr>
              <w:t>%</w:t>
            </w:r>
          </w:p>
          <w:p w:rsidR="005D511D" w:rsidRPr="007412BB" w:rsidRDefault="005D511D" w:rsidP="002E5474">
            <w:pPr>
              <w:rPr>
                <w:color w:val="000000"/>
                <w:sz w:val="22"/>
                <w:szCs w:val="22"/>
              </w:rPr>
            </w:pPr>
            <w:r w:rsidRPr="007412BB">
              <w:rPr>
                <w:color w:val="000000"/>
                <w:sz w:val="22"/>
                <w:szCs w:val="22"/>
              </w:rPr>
              <w:t xml:space="preserve"> АИ</w:t>
            </w:r>
            <w:r>
              <w:rPr>
                <w:color w:val="000000"/>
                <w:sz w:val="22"/>
                <w:szCs w:val="22"/>
              </w:rPr>
              <w:t>-9</w:t>
            </w:r>
            <w:r w:rsidRPr="007412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7412BB" w:rsidRDefault="005D511D" w:rsidP="002E5474">
            <w:pPr>
              <w:rPr>
                <w:color w:val="000000"/>
                <w:sz w:val="22"/>
                <w:szCs w:val="22"/>
              </w:rPr>
            </w:pPr>
            <w:r w:rsidRPr="007412BB">
              <w:rPr>
                <w:color w:val="000000"/>
                <w:sz w:val="22"/>
                <w:szCs w:val="22"/>
              </w:rPr>
              <w:t xml:space="preserve">доля рынка, </w:t>
            </w:r>
            <w:r>
              <w:rPr>
                <w:color w:val="000000"/>
                <w:sz w:val="22"/>
                <w:szCs w:val="22"/>
              </w:rPr>
              <w:t xml:space="preserve">%, </w:t>
            </w:r>
            <w:r w:rsidRPr="007412BB">
              <w:rPr>
                <w:color w:val="000000"/>
                <w:sz w:val="22"/>
                <w:szCs w:val="22"/>
              </w:rPr>
              <w:t>АИ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412BB">
              <w:rPr>
                <w:color w:val="000000"/>
                <w:sz w:val="22"/>
                <w:szCs w:val="22"/>
              </w:rPr>
              <w:t>98</w:t>
            </w:r>
          </w:p>
        </w:tc>
      </w:tr>
      <w:tr w:rsidR="005D511D" w:rsidRPr="005D511D" w:rsidTr="005D511D">
        <w:trPr>
          <w:trHeight w:val="623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11D" w:rsidRPr="005D511D" w:rsidRDefault="005D511D" w:rsidP="005D511D">
            <w:pPr>
              <w:rPr>
                <w:color w:val="000000"/>
                <w:szCs w:val="24"/>
              </w:rPr>
            </w:pPr>
            <w:r w:rsidRPr="005D511D">
              <w:rPr>
                <w:color w:val="000000"/>
                <w:szCs w:val="24"/>
              </w:rPr>
              <w:t>АО "</w:t>
            </w:r>
            <w:proofErr w:type="spellStart"/>
            <w:r w:rsidRPr="005D511D">
              <w:rPr>
                <w:color w:val="000000"/>
                <w:szCs w:val="24"/>
              </w:rPr>
              <w:t>Ульяновскнефтепродукт</w:t>
            </w:r>
            <w:proofErr w:type="spellEnd"/>
            <w:r w:rsidRPr="005D511D">
              <w:rPr>
                <w:color w:val="000000"/>
                <w:szCs w:val="24"/>
              </w:rPr>
              <w:t>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1D" w:rsidRPr="00A30855" w:rsidRDefault="005D511D" w:rsidP="002E5474">
            <w:pPr>
              <w:rPr>
                <w:color w:val="000000"/>
                <w:sz w:val="22"/>
                <w:szCs w:val="22"/>
              </w:rPr>
            </w:pPr>
            <w:r w:rsidRPr="00A30855">
              <w:rPr>
                <w:color w:val="000000"/>
                <w:sz w:val="22"/>
                <w:szCs w:val="22"/>
              </w:rPr>
              <w:t>ПАО "</w:t>
            </w:r>
            <w:proofErr w:type="spellStart"/>
            <w:r w:rsidRPr="00A30855">
              <w:rPr>
                <w:color w:val="000000"/>
                <w:sz w:val="22"/>
                <w:szCs w:val="22"/>
              </w:rPr>
              <w:t>Н</w:t>
            </w:r>
            <w:proofErr w:type="gramStart"/>
            <w:r w:rsidRPr="00A30855">
              <w:rPr>
                <w:color w:val="000000"/>
                <w:sz w:val="22"/>
                <w:szCs w:val="22"/>
              </w:rPr>
              <w:t>К"</w:t>
            </w:r>
            <w:proofErr w:type="gramEnd"/>
            <w:r w:rsidRPr="00A30855">
              <w:rPr>
                <w:color w:val="000000"/>
                <w:sz w:val="22"/>
                <w:szCs w:val="22"/>
              </w:rPr>
              <w:t>Роснефть</w:t>
            </w:r>
            <w:proofErr w:type="spellEnd"/>
            <w:r w:rsidRPr="00A3085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5D511D" w:rsidRDefault="005D511D" w:rsidP="005D511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5D511D" w:rsidRDefault="005D511D" w:rsidP="005D511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5D511D" w:rsidRDefault="005D511D" w:rsidP="005D511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5D511D" w:rsidRDefault="005D511D" w:rsidP="005D511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5D511D" w:rsidRPr="005D511D" w:rsidTr="005D511D">
        <w:trPr>
          <w:trHeight w:val="623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11D" w:rsidRPr="005D511D" w:rsidRDefault="005D511D" w:rsidP="005D511D">
            <w:pPr>
              <w:rPr>
                <w:color w:val="000000"/>
                <w:szCs w:val="24"/>
              </w:rPr>
            </w:pPr>
            <w:r w:rsidRPr="005D511D">
              <w:rPr>
                <w:color w:val="000000"/>
                <w:szCs w:val="24"/>
              </w:rPr>
              <w:t>ООО "Татнефть-</w:t>
            </w:r>
            <w:proofErr w:type="spellStart"/>
            <w:r w:rsidRPr="005D511D">
              <w:rPr>
                <w:color w:val="000000"/>
                <w:szCs w:val="24"/>
              </w:rPr>
              <w:t>АЗСЦентр</w:t>
            </w:r>
            <w:proofErr w:type="spellEnd"/>
            <w:r w:rsidRPr="005D511D">
              <w:rPr>
                <w:color w:val="000000"/>
                <w:szCs w:val="24"/>
              </w:rPr>
              <w:t>"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1D" w:rsidRPr="00A30855" w:rsidRDefault="005D511D" w:rsidP="002E5474">
            <w:pPr>
              <w:rPr>
                <w:color w:val="000000"/>
                <w:sz w:val="22"/>
                <w:szCs w:val="22"/>
              </w:rPr>
            </w:pPr>
            <w:r w:rsidRPr="00A30855">
              <w:rPr>
                <w:color w:val="000000"/>
                <w:sz w:val="22"/>
                <w:szCs w:val="22"/>
              </w:rPr>
              <w:t>ПАО "Татнефть"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5D511D" w:rsidRDefault="005D511D" w:rsidP="005D511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5D511D" w:rsidRDefault="005D511D" w:rsidP="005D511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31,95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5D511D" w:rsidRDefault="005D511D" w:rsidP="005D511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5D511D" w:rsidRDefault="005D511D" w:rsidP="005D511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5D511D" w:rsidRPr="005D511D" w:rsidTr="005D511D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11D" w:rsidRPr="005D511D" w:rsidRDefault="005D511D" w:rsidP="005D511D">
            <w:pPr>
              <w:rPr>
                <w:szCs w:val="24"/>
              </w:rPr>
            </w:pPr>
            <w:r w:rsidRPr="005D511D">
              <w:rPr>
                <w:szCs w:val="24"/>
              </w:rPr>
              <w:t>ООО "Л-</w:t>
            </w:r>
            <w:proofErr w:type="spellStart"/>
            <w:r w:rsidRPr="005D511D">
              <w:rPr>
                <w:szCs w:val="24"/>
              </w:rPr>
              <w:t>Ульяновскнефтепродукт</w:t>
            </w:r>
            <w:proofErr w:type="spellEnd"/>
            <w:r w:rsidRPr="005D511D">
              <w:rPr>
                <w:szCs w:val="24"/>
              </w:rPr>
              <w:t>"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1D" w:rsidRPr="00A30855" w:rsidRDefault="005D511D" w:rsidP="002E5474">
            <w:pPr>
              <w:rPr>
                <w:sz w:val="22"/>
                <w:szCs w:val="22"/>
              </w:rPr>
            </w:pPr>
            <w:r w:rsidRPr="00A30855">
              <w:rPr>
                <w:sz w:val="22"/>
                <w:szCs w:val="22"/>
              </w:rPr>
              <w:t>Независимый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5D511D" w:rsidRDefault="005D511D" w:rsidP="005D511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5D511D" w:rsidRDefault="005D511D" w:rsidP="005D511D">
            <w:pPr>
              <w:rPr>
                <w:szCs w:val="24"/>
              </w:rPr>
            </w:pPr>
            <w:r>
              <w:rPr>
                <w:szCs w:val="24"/>
              </w:rPr>
              <w:t>24,44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5D511D" w:rsidRDefault="005D511D" w:rsidP="005D511D">
            <w:pPr>
              <w:rPr>
                <w:szCs w:val="24"/>
              </w:rPr>
            </w:pPr>
            <w:r>
              <w:rPr>
                <w:szCs w:val="24"/>
              </w:rPr>
              <w:t>30,72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5D511D" w:rsidRDefault="005D511D" w:rsidP="005D5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5D511D" w:rsidRPr="005D511D" w:rsidTr="005D511D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11D" w:rsidRPr="005D511D" w:rsidRDefault="005D511D" w:rsidP="005D511D">
            <w:pPr>
              <w:rPr>
                <w:szCs w:val="24"/>
              </w:rPr>
            </w:pPr>
            <w:r w:rsidRPr="005D511D">
              <w:rPr>
                <w:szCs w:val="24"/>
              </w:rPr>
              <w:t>ООО "Сити-Вест"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1D" w:rsidRPr="00A30855" w:rsidRDefault="005D511D" w:rsidP="002E5474">
            <w:pPr>
              <w:rPr>
                <w:color w:val="000000"/>
                <w:sz w:val="22"/>
                <w:szCs w:val="22"/>
              </w:rPr>
            </w:pPr>
            <w:r w:rsidRPr="00A30855">
              <w:rPr>
                <w:color w:val="000000"/>
                <w:sz w:val="22"/>
                <w:szCs w:val="22"/>
              </w:rPr>
              <w:t>Независимый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5D511D" w:rsidRDefault="005D511D" w:rsidP="005D511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5D511D" w:rsidRDefault="005D511D" w:rsidP="005D511D">
            <w:pPr>
              <w:rPr>
                <w:szCs w:val="24"/>
              </w:rPr>
            </w:pPr>
            <w:r>
              <w:rPr>
                <w:szCs w:val="24"/>
              </w:rPr>
              <w:t>2,59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5D511D" w:rsidRDefault="005D511D" w:rsidP="005D511D">
            <w:pPr>
              <w:rPr>
                <w:szCs w:val="24"/>
              </w:rPr>
            </w:pPr>
            <w:r>
              <w:rPr>
                <w:szCs w:val="24"/>
              </w:rPr>
              <w:t>1,51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11D" w:rsidRPr="005D511D" w:rsidRDefault="005D511D" w:rsidP="005D511D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5D511D" w:rsidRDefault="005D511D" w:rsidP="00B95DCA">
      <w:pPr>
        <w:pStyle w:val="20"/>
        <w:jc w:val="center"/>
        <w:rPr>
          <w:b/>
          <w:sz w:val="25"/>
          <w:szCs w:val="25"/>
          <w:u w:val="single"/>
        </w:rPr>
      </w:pPr>
    </w:p>
    <w:p w:rsidR="005D511D" w:rsidRPr="001A4995" w:rsidRDefault="005D511D" w:rsidP="00B95DCA">
      <w:pPr>
        <w:pStyle w:val="20"/>
        <w:jc w:val="center"/>
        <w:rPr>
          <w:b/>
          <w:sz w:val="25"/>
          <w:szCs w:val="25"/>
          <w:u w:val="single"/>
        </w:rPr>
      </w:pPr>
    </w:p>
    <w:p w:rsidR="00B95DCA" w:rsidRPr="001A4995" w:rsidRDefault="00B95DCA" w:rsidP="00B95DCA">
      <w:pPr>
        <w:pStyle w:val="20"/>
        <w:jc w:val="center"/>
        <w:rPr>
          <w:b/>
          <w:sz w:val="25"/>
          <w:szCs w:val="25"/>
          <w:u w:val="single"/>
        </w:rPr>
      </w:pPr>
      <w:r w:rsidRPr="001A4995">
        <w:rPr>
          <w:b/>
          <w:sz w:val="25"/>
          <w:szCs w:val="25"/>
          <w:u w:val="single"/>
        </w:rPr>
        <w:t>Уровень концентрации товарных рынков</w:t>
      </w:r>
    </w:p>
    <w:p w:rsidR="00B95DCA" w:rsidRPr="001A4995" w:rsidRDefault="00B95DCA" w:rsidP="00B95DCA">
      <w:pPr>
        <w:pStyle w:val="20"/>
        <w:rPr>
          <w:b/>
          <w:sz w:val="25"/>
          <w:szCs w:val="25"/>
        </w:rPr>
      </w:pPr>
    </w:p>
    <w:p w:rsidR="00B95DCA" w:rsidRPr="001A4995" w:rsidRDefault="00B95DCA" w:rsidP="00B95DCA">
      <w:pPr>
        <w:ind w:firstLine="426"/>
        <w:contextualSpacing/>
        <w:jc w:val="both"/>
        <w:rPr>
          <w:b/>
          <w:sz w:val="25"/>
          <w:szCs w:val="25"/>
        </w:rPr>
      </w:pPr>
      <w:r w:rsidRPr="001A4995">
        <w:rPr>
          <w:sz w:val="25"/>
          <w:szCs w:val="25"/>
        </w:rPr>
        <w:t>Определение уровня концентрации товарных рынков, оценка состояния конкурентной среды на товарных рынках осуществляются в соответствии с требованиями приказа ФАС России от 28.04.2006 № 220 «Об утверждении Порядка проведения анализа состояния конкуренции на товарном рынке».</w:t>
      </w:r>
      <w:r w:rsidRPr="001A4995">
        <w:rPr>
          <w:b/>
          <w:sz w:val="25"/>
          <w:szCs w:val="25"/>
        </w:rPr>
        <w:t xml:space="preserve">  </w:t>
      </w:r>
    </w:p>
    <w:p w:rsidR="00B95DCA" w:rsidRPr="001A4995" w:rsidRDefault="00B95DCA" w:rsidP="00B95DCA">
      <w:pPr>
        <w:ind w:firstLine="426"/>
        <w:contextualSpacing/>
        <w:jc w:val="both"/>
        <w:rPr>
          <w:b/>
          <w:sz w:val="25"/>
          <w:szCs w:val="25"/>
        </w:rPr>
      </w:pPr>
      <w:r w:rsidRPr="001A4995">
        <w:rPr>
          <w:sz w:val="25"/>
          <w:szCs w:val="25"/>
        </w:rPr>
        <w:t xml:space="preserve">Для определения уровня концентрации товарных рынков используются показатели: </w:t>
      </w:r>
    </w:p>
    <w:p w:rsidR="00B95DCA" w:rsidRPr="001A4995" w:rsidRDefault="00B95DCA" w:rsidP="00B95DCA">
      <w:pPr>
        <w:autoSpaceDE w:val="0"/>
        <w:autoSpaceDN w:val="0"/>
        <w:adjustRightInd w:val="0"/>
        <w:ind w:firstLine="426"/>
        <w:contextualSpacing/>
        <w:jc w:val="both"/>
        <w:outlineLvl w:val="1"/>
        <w:rPr>
          <w:sz w:val="25"/>
          <w:szCs w:val="25"/>
        </w:rPr>
      </w:pPr>
      <w:r w:rsidRPr="001A4995">
        <w:rPr>
          <w:sz w:val="25"/>
          <w:szCs w:val="25"/>
        </w:rPr>
        <w:t>- коэффициент рыночной концентрации - сумма долей на товарном рынке (выраженных в процентах) определенного числа (n) крупнейших хозяйствующих субъектов, действующих на данном рынке (</w:t>
      </w:r>
      <w:r w:rsidRPr="001A4995">
        <w:rPr>
          <w:b/>
          <w:bCs/>
          <w:color w:val="000000"/>
          <w:sz w:val="25"/>
          <w:szCs w:val="25"/>
          <w:lang w:val="en-US"/>
        </w:rPr>
        <w:t>CR</w:t>
      </w:r>
      <w:r w:rsidRPr="001A4995">
        <w:rPr>
          <w:b/>
          <w:bCs/>
          <w:color w:val="000000"/>
          <w:sz w:val="25"/>
          <w:szCs w:val="25"/>
          <w:vertAlign w:val="subscript"/>
        </w:rPr>
        <w:t>3</w:t>
      </w:r>
      <w:r w:rsidRPr="001A4995">
        <w:rPr>
          <w:b/>
          <w:bCs/>
          <w:color w:val="000000"/>
          <w:sz w:val="25"/>
          <w:szCs w:val="25"/>
          <w:vertAlign w:val="superscript"/>
        </w:rPr>
        <w:t>)</w:t>
      </w:r>
      <w:r w:rsidRPr="001A4995">
        <w:rPr>
          <w:sz w:val="25"/>
          <w:szCs w:val="25"/>
        </w:rPr>
        <w:t>;</w:t>
      </w:r>
    </w:p>
    <w:p w:rsidR="00B95DCA" w:rsidRPr="001A4995" w:rsidRDefault="00B95DCA" w:rsidP="00B95DCA">
      <w:pPr>
        <w:autoSpaceDE w:val="0"/>
        <w:autoSpaceDN w:val="0"/>
        <w:adjustRightInd w:val="0"/>
        <w:ind w:firstLine="426"/>
        <w:contextualSpacing/>
        <w:jc w:val="both"/>
        <w:outlineLvl w:val="1"/>
        <w:rPr>
          <w:sz w:val="25"/>
          <w:szCs w:val="25"/>
        </w:rPr>
      </w:pPr>
      <w:r w:rsidRPr="001A4995">
        <w:rPr>
          <w:sz w:val="25"/>
          <w:szCs w:val="25"/>
        </w:rPr>
        <w:t xml:space="preserve">- индекс рыночной концентрации </w:t>
      </w:r>
      <w:proofErr w:type="spellStart"/>
      <w:r w:rsidRPr="001A4995">
        <w:rPr>
          <w:sz w:val="25"/>
          <w:szCs w:val="25"/>
        </w:rPr>
        <w:t>Герфиндаля-Гиршмана</w:t>
      </w:r>
      <w:proofErr w:type="spellEnd"/>
      <w:r w:rsidRPr="001A4995">
        <w:rPr>
          <w:sz w:val="25"/>
          <w:szCs w:val="25"/>
        </w:rPr>
        <w:t xml:space="preserve"> - сумма квадратов долей (выраженных в процентах) на товарном рынке всех хозяйствующих субъектов, действующих на данном рынке (</w:t>
      </w:r>
      <w:r w:rsidRPr="001A4995">
        <w:rPr>
          <w:b/>
          <w:bCs/>
          <w:color w:val="000000"/>
          <w:sz w:val="25"/>
          <w:szCs w:val="25"/>
          <w:lang w:val="en-US"/>
        </w:rPr>
        <w:t>HHI</w:t>
      </w:r>
      <w:r w:rsidRPr="001A4995">
        <w:rPr>
          <w:b/>
          <w:bCs/>
          <w:color w:val="000000"/>
          <w:sz w:val="25"/>
          <w:szCs w:val="25"/>
        </w:rPr>
        <w:t>)</w:t>
      </w:r>
      <w:r w:rsidRPr="001A4995">
        <w:rPr>
          <w:sz w:val="25"/>
          <w:szCs w:val="25"/>
        </w:rPr>
        <w:t>.</w:t>
      </w:r>
    </w:p>
    <w:p w:rsidR="00A06A95" w:rsidRPr="001A4995" w:rsidRDefault="00B23203" w:rsidP="00A06A95">
      <w:pPr>
        <w:jc w:val="right"/>
        <w:rPr>
          <w:sz w:val="25"/>
          <w:szCs w:val="25"/>
        </w:rPr>
      </w:pPr>
      <w:r w:rsidRPr="001A4995">
        <w:rPr>
          <w:sz w:val="25"/>
          <w:szCs w:val="25"/>
        </w:rPr>
        <w:t xml:space="preserve">Таблица </w:t>
      </w:r>
      <w:r w:rsidR="00B85CF6">
        <w:rPr>
          <w:sz w:val="25"/>
          <w:szCs w:val="25"/>
        </w:rPr>
        <w:t>3</w:t>
      </w:r>
    </w:p>
    <w:p w:rsidR="0007696B" w:rsidRDefault="007C2652" w:rsidP="00A06A95">
      <w:pPr>
        <w:jc w:val="right"/>
        <w:rPr>
          <w:sz w:val="20"/>
        </w:rPr>
      </w:pPr>
      <w:r>
        <w:fldChar w:fldCharType="begin"/>
      </w:r>
      <w:r w:rsidR="00A06A95">
        <w:instrText xml:space="preserve"> LINK </w:instrText>
      </w:r>
      <w:r w:rsidR="0007696B">
        <w:instrText xml:space="preserve">Excel.Sheet.8 "C:\\Documents and Settings\\user\\Рабочий стол\\Анализ рынка НП 2017\\Доли рынка бензина (розница) 2017 год ..xls" Индексы!R1C1:R8C7 </w:instrText>
      </w:r>
      <w:r w:rsidR="00A06A95">
        <w:instrText xml:space="preserve">\a \f 4 \h </w:instrText>
      </w:r>
      <w:r w:rsidR="0007696B">
        <w:instrText xml:space="preserve"> \* MERGEFORMAT </w:instrText>
      </w:r>
      <w:r>
        <w:fldChar w:fldCharType="separate"/>
      </w:r>
    </w:p>
    <w:p w:rsidR="00522E02" w:rsidRDefault="00522E02" w:rsidP="007A74BF">
      <w:pPr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Y="-9"/>
        <w:tblW w:w="9340" w:type="dxa"/>
        <w:tblLook w:val="04A0" w:firstRow="1" w:lastRow="0" w:firstColumn="1" w:lastColumn="0" w:noHBand="0" w:noVBand="1"/>
      </w:tblPr>
      <w:tblGrid>
        <w:gridCol w:w="1191"/>
        <w:gridCol w:w="1167"/>
        <w:gridCol w:w="1387"/>
        <w:gridCol w:w="1275"/>
        <w:gridCol w:w="1253"/>
        <w:gridCol w:w="1434"/>
        <w:gridCol w:w="1633"/>
      </w:tblGrid>
      <w:tr w:rsidR="001F6C56" w:rsidRPr="001F6C56" w:rsidTr="00881D9E">
        <w:trPr>
          <w:trHeight w:val="299"/>
        </w:trPr>
        <w:tc>
          <w:tcPr>
            <w:tcW w:w="93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7C22" w:rsidRPr="001F6C56" w:rsidRDefault="00881D9E" w:rsidP="00077C22">
            <w:pPr>
              <w:jc w:val="center"/>
              <w:rPr>
                <w:b/>
                <w:bCs/>
                <w:sz w:val="20"/>
              </w:rPr>
            </w:pPr>
            <w:r w:rsidRPr="001F6C56">
              <w:rPr>
                <w:b/>
                <w:bCs/>
                <w:sz w:val="20"/>
              </w:rPr>
              <w:t>01.01.2019 - 31.12.2019</w:t>
            </w:r>
          </w:p>
        </w:tc>
      </w:tr>
      <w:tr w:rsidR="001F6C56" w:rsidRPr="001F6C56" w:rsidTr="00881D9E">
        <w:trPr>
          <w:trHeight w:val="299"/>
        </w:trPr>
        <w:tc>
          <w:tcPr>
            <w:tcW w:w="93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C22" w:rsidRPr="001F6C56" w:rsidRDefault="00077C22" w:rsidP="00077C22">
            <w:pPr>
              <w:rPr>
                <w:b/>
                <w:bCs/>
                <w:sz w:val="20"/>
              </w:rPr>
            </w:pPr>
          </w:p>
        </w:tc>
      </w:tr>
      <w:tr w:rsidR="001F6C56" w:rsidRPr="001F6C56" w:rsidTr="00881D9E">
        <w:trPr>
          <w:trHeight w:val="275"/>
        </w:trPr>
        <w:tc>
          <w:tcPr>
            <w:tcW w:w="11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7C22" w:rsidRPr="001F6C56" w:rsidRDefault="00077C22" w:rsidP="00077C22">
            <w:pPr>
              <w:rPr>
                <w:b/>
                <w:bCs/>
                <w:sz w:val="20"/>
              </w:rPr>
            </w:pPr>
            <w:r w:rsidRPr="001F6C56">
              <w:rPr>
                <w:b/>
                <w:bCs/>
                <w:sz w:val="20"/>
              </w:rPr>
              <w:t>Марка товара</w:t>
            </w: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7C22" w:rsidRPr="001F6C56" w:rsidRDefault="00077C22" w:rsidP="00077C22">
            <w:pPr>
              <w:jc w:val="center"/>
              <w:rPr>
                <w:b/>
                <w:bCs/>
                <w:sz w:val="20"/>
              </w:rPr>
            </w:pPr>
            <w:r w:rsidRPr="001F6C56">
              <w:rPr>
                <w:b/>
                <w:bCs/>
                <w:sz w:val="20"/>
              </w:rPr>
              <w:t>Ульяновская область</w:t>
            </w:r>
          </w:p>
        </w:tc>
        <w:tc>
          <w:tcPr>
            <w:tcW w:w="2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7C22" w:rsidRPr="001F6C56" w:rsidRDefault="00077C22" w:rsidP="00077C22">
            <w:pPr>
              <w:rPr>
                <w:b/>
                <w:bCs/>
                <w:sz w:val="20"/>
              </w:rPr>
            </w:pPr>
            <w:r w:rsidRPr="001F6C56">
              <w:rPr>
                <w:b/>
                <w:bCs/>
                <w:sz w:val="20"/>
              </w:rPr>
              <w:t>МО г. Ульяновск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7C22" w:rsidRPr="001F6C56" w:rsidRDefault="00077C22" w:rsidP="00077C22">
            <w:pPr>
              <w:rPr>
                <w:b/>
                <w:bCs/>
                <w:sz w:val="20"/>
              </w:rPr>
            </w:pPr>
            <w:r w:rsidRPr="001F6C56">
              <w:rPr>
                <w:b/>
                <w:bCs/>
                <w:sz w:val="20"/>
              </w:rPr>
              <w:t>МО г. Димитровград</w:t>
            </w:r>
          </w:p>
        </w:tc>
      </w:tr>
      <w:tr w:rsidR="001F6C56" w:rsidRPr="001F6C56" w:rsidTr="00881D9E">
        <w:trPr>
          <w:trHeight w:val="299"/>
        </w:trPr>
        <w:tc>
          <w:tcPr>
            <w:tcW w:w="1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C22" w:rsidRPr="001F6C56" w:rsidRDefault="00077C22" w:rsidP="00077C22">
            <w:pPr>
              <w:rPr>
                <w:b/>
                <w:bCs/>
                <w:sz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7C22" w:rsidRPr="001F6C56" w:rsidRDefault="00077C22" w:rsidP="00077C22">
            <w:pPr>
              <w:jc w:val="center"/>
              <w:rPr>
                <w:b/>
                <w:bCs/>
                <w:sz w:val="20"/>
              </w:rPr>
            </w:pPr>
            <w:r w:rsidRPr="001F6C56">
              <w:rPr>
                <w:b/>
                <w:bCs/>
                <w:sz w:val="20"/>
              </w:rPr>
              <w:t>CR3,</w:t>
            </w:r>
            <w:r w:rsidRPr="001F6C56">
              <w:rPr>
                <w:b/>
                <w:bCs/>
                <w:sz w:val="20"/>
                <w:vertAlign w:val="subscript"/>
              </w:rPr>
              <w:t xml:space="preserve">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7C22" w:rsidRPr="001F6C56" w:rsidRDefault="00077C22" w:rsidP="00077C22">
            <w:pPr>
              <w:jc w:val="center"/>
              <w:rPr>
                <w:b/>
                <w:bCs/>
                <w:sz w:val="20"/>
              </w:rPr>
            </w:pPr>
            <w:r w:rsidRPr="001F6C56">
              <w:rPr>
                <w:b/>
                <w:bCs/>
                <w:sz w:val="20"/>
              </w:rPr>
              <w:t>HHI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C22" w:rsidRPr="001F6C56" w:rsidRDefault="00077C22" w:rsidP="00077C22">
            <w:pPr>
              <w:jc w:val="center"/>
              <w:rPr>
                <w:b/>
                <w:bCs/>
                <w:sz w:val="20"/>
              </w:rPr>
            </w:pPr>
            <w:r w:rsidRPr="001F6C56">
              <w:rPr>
                <w:b/>
                <w:bCs/>
                <w:sz w:val="20"/>
              </w:rPr>
              <w:t>CR3,</w:t>
            </w:r>
            <w:r w:rsidRPr="001F6C56">
              <w:rPr>
                <w:b/>
                <w:bCs/>
                <w:sz w:val="20"/>
                <w:vertAlign w:val="subscript"/>
              </w:rPr>
              <w:t xml:space="preserve"> 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C22" w:rsidRPr="001F6C56" w:rsidRDefault="00077C22" w:rsidP="00077C22">
            <w:pPr>
              <w:jc w:val="center"/>
              <w:rPr>
                <w:b/>
                <w:bCs/>
                <w:sz w:val="20"/>
              </w:rPr>
            </w:pPr>
            <w:r w:rsidRPr="001F6C56">
              <w:rPr>
                <w:b/>
                <w:bCs/>
                <w:sz w:val="20"/>
              </w:rPr>
              <w:t>HHI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C22" w:rsidRPr="001F6C56" w:rsidRDefault="00077C22" w:rsidP="00077C22">
            <w:pPr>
              <w:jc w:val="center"/>
              <w:rPr>
                <w:b/>
                <w:bCs/>
                <w:sz w:val="20"/>
              </w:rPr>
            </w:pPr>
            <w:r w:rsidRPr="001F6C56">
              <w:rPr>
                <w:b/>
                <w:bCs/>
                <w:sz w:val="20"/>
              </w:rPr>
              <w:t>CR3,</w:t>
            </w:r>
            <w:r w:rsidRPr="001F6C56">
              <w:rPr>
                <w:b/>
                <w:bCs/>
                <w:sz w:val="20"/>
                <w:vertAlign w:val="subscript"/>
              </w:rPr>
              <w:t xml:space="preserve"> %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7C22" w:rsidRPr="001F6C56" w:rsidRDefault="00077C22" w:rsidP="00077C22">
            <w:pPr>
              <w:jc w:val="center"/>
              <w:rPr>
                <w:b/>
                <w:bCs/>
                <w:sz w:val="20"/>
              </w:rPr>
            </w:pPr>
            <w:r w:rsidRPr="001F6C56">
              <w:rPr>
                <w:b/>
                <w:bCs/>
                <w:sz w:val="20"/>
              </w:rPr>
              <w:t>HHI</w:t>
            </w:r>
          </w:p>
        </w:tc>
      </w:tr>
      <w:tr w:rsidR="001F6C56" w:rsidRPr="001F6C56" w:rsidTr="00440569">
        <w:trPr>
          <w:trHeight w:val="422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569" w:rsidRPr="001F6C56" w:rsidRDefault="00077C22" w:rsidP="00077C22">
            <w:pPr>
              <w:jc w:val="center"/>
              <w:rPr>
                <w:sz w:val="20"/>
              </w:rPr>
            </w:pPr>
            <w:r w:rsidRPr="001F6C56">
              <w:rPr>
                <w:sz w:val="20"/>
              </w:rPr>
              <w:t xml:space="preserve">А-76  </w:t>
            </w:r>
          </w:p>
          <w:p w:rsidR="00077C22" w:rsidRPr="001F6C56" w:rsidRDefault="00077C22" w:rsidP="00077C22">
            <w:pPr>
              <w:jc w:val="center"/>
              <w:rPr>
                <w:sz w:val="20"/>
              </w:rPr>
            </w:pPr>
            <w:r w:rsidRPr="001F6C56">
              <w:rPr>
                <w:sz w:val="20"/>
              </w:rPr>
              <w:t>(АИ-80)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77C22" w:rsidRPr="001F6C56" w:rsidRDefault="009255A4" w:rsidP="009255A4">
            <w:pPr>
              <w:jc w:val="center"/>
              <w:rPr>
                <w:sz w:val="20"/>
              </w:rPr>
            </w:pPr>
            <w:r w:rsidRPr="001F6C56">
              <w:rPr>
                <w:sz w:val="20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7C22" w:rsidRPr="001F6C56" w:rsidRDefault="009255A4" w:rsidP="009255A4">
            <w:pPr>
              <w:jc w:val="center"/>
              <w:rPr>
                <w:sz w:val="20"/>
              </w:rPr>
            </w:pPr>
            <w:r w:rsidRPr="001F6C56">
              <w:rPr>
                <w:sz w:val="20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C22" w:rsidRPr="001F6C56" w:rsidRDefault="009255A4" w:rsidP="009255A4">
            <w:pPr>
              <w:jc w:val="center"/>
              <w:rPr>
                <w:sz w:val="20"/>
              </w:rPr>
            </w:pPr>
            <w:r w:rsidRPr="001F6C56"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C22" w:rsidRPr="001F6C56" w:rsidRDefault="00880DE7" w:rsidP="009255A4">
            <w:pPr>
              <w:jc w:val="center"/>
              <w:rPr>
                <w:sz w:val="20"/>
                <w:lang w:val="en-US"/>
              </w:rPr>
            </w:pPr>
            <w:r w:rsidRPr="001F6C56">
              <w:rPr>
                <w:sz w:val="20"/>
                <w:lang w:val="en-US"/>
              </w:rPr>
              <w:t>8 784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C22" w:rsidRPr="001F6C56" w:rsidRDefault="009255A4" w:rsidP="009255A4">
            <w:pPr>
              <w:jc w:val="center"/>
              <w:rPr>
                <w:sz w:val="20"/>
              </w:rPr>
            </w:pPr>
            <w:r w:rsidRPr="001F6C56">
              <w:rPr>
                <w:sz w:val="20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C22" w:rsidRPr="001F6C56" w:rsidRDefault="003A7916" w:rsidP="009255A4">
            <w:pPr>
              <w:jc w:val="center"/>
              <w:rPr>
                <w:sz w:val="20"/>
                <w:lang w:val="en-US"/>
              </w:rPr>
            </w:pPr>
            <w:r w:rsidRPr="001F6C56">
              <w:rPr>
                <w:sz w:val="20"/>
                <w:lang w:val="en-US"/>
              </w:rPr>
              <w:t>10 000</w:t>
            </w:r>
          </w:p>
        </w:tc>
      </w:tr>
      <w:tr w:rsidR="001F6C56" w:rsidRPr="001F6C56" w:rsidTr="00881D9E">
        <w:trPr>
          <w:trHeight w:val="275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7C22" w:rsidRPr="001F6C56" w:rsidRDefault="00077C22" w:rsidP="00077C22">
            <w:pPr>
              <w:jc w:val="center"/>
              <w:rPr>
                <w:sz w:val="20"/>
              </w:rPr>
            </w:pPr>
            <w:r w:rsidRPr="001F6C56">
              <w:rPr>
                <w:sz w:val="20"/>
              </w:rPr>
              <w:t>АИ-92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77C22" w:rsidRPr="001F6C56" w:rsidRDefault="009255A4" w:rsidP="009255A4">
            <w:pPr>
              <w:jc w:val="center"/>
              <w:rPr>
                <w:sz w:val="20"/>
              </w:rPr>
            </w:pPr>
            <w:r w:rsidRPr="001F6C56">
              <w:rPr>
                <w:sz w:val="20"/>
              </w:rPr>
              <w:t>87,49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7C22" w:rsidRPr="001F6C56" w:rsidRDefault="00880DE7" w:rsidP="00880DE7">
            <w:pPr>
              <w:jc w:val="center"/>
              <w:rPr>
                <w:sz w:val="20"/>
                <w:lang w:val="en-US"/>
              </w:rPr>
            </w:pPr>
            <w:r w:rsidRPr="001F6C56">
              <w:rPr>
                <w:sz w:val="20"/>
                <w:lang w:val="en-US"/>
              </w:rPr>
              <w:t>5 644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C22" w:rsidRPr="001F6C56" w:rsidRDefault="009255A4" w:rsidP="009255A4">
            <w:pPr>
              <w:jc w:val="center"/>
              <w:rPr>
                <w:sz w:val="20"/>
              </w:rPr>
            </w:pPr>
            <w:r w:rsidRPr="001F6C56">
              <w:rPr>
                <w:sz w:val="20"/>
              </w:rPr>
              <w:t>85,22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C22" w:rsidRPr="001F6C56" w:rsidRDefault="00880DE7" w:rsidP="009255A4">
            <w:pPr>
              <w:jc w:val="center"/>
              <w:rPr>
                <w:sz w:val="20"/>
                <w:lang w:val="en-US"/>
              </w:rPr>
            </w:pPr>
            <w:r w:rsidRPr="001F6C56">
              <w:rPr>
                <w:sz w:val="20"/>
                <w:lang w:val="en-US"/>
              </w:rPr>
              <w:t>2 888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C22" w:rsidRPr="001F6C56" w:rsidRDefault="009255A4" w:rsidP="009255A4">
            <w:pPr>
              <w:jc w:val="center"/>
              <w:rPr>
                <w:sz w:val="20"/>
              </w:rPr>
            </w:pPr>
            <w:r w:rsidRPr="001F6C56">
              <w:rPr>
                <w:sz w:val="20"/>
              </w:rPr>
              <w:t>97,41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C22" w:rsidRPr="001F6C56" w:rsidRDefault="003A7916" w:rsidP="009255A4">
            <w:pPr>
              <w:jc w:val="center"/>
              <w:rPr>
                <w:sz w:val="20"/>
                <w:lang w:val="en-US"/>
              </w:rPr>
            </w:pPr>
            <w:r w:rsidRPr="001F6C56">
              <w:rPr>
                <w:sz w:val="20"/>
                <w:lang w:val="en-US"/>
              </w:rPr>
              <w:t>3 307</w:t>
            </w:r>
          </w:p>
        </w:tc>
      </w:tr>
      <w:tr w:rsidR="001F6C56" w:rsidRPr="001F6C56" w:rsidTr="00881D9E">
        <w:trPr>
          <w:trHeight w:val="275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7C22" w:rsidRPr="001F6C56" w:rsidRDefault="00077C22" w:rsidP="00077C22">
            <w:pPr>
              <w:jc w:val="center"/>
              <w:rPr>
                <w:sz w:val="20"/>
              </w:rPr>
            </w:pPr>
            <w:r w:rsidRPr="001F6C56">
              <w:rPr>
                <w:sz w:val="20"/>
              </w:rPr>
              <w:t>АИ-95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7C22" w:rsidRPr="001F6C56" w:rsidRDefault="009255A4" w:rsidP="009255A4">
            <w:pPr>
              <w:jc w:val="center"/>
              <w:rPr>
                <w:sz w:val="20"/>
              </w:rPr>
            </w:pPr>
            <w:r w:rsidRPr="001F6C56">
              <w:rPr>
                <w:sz w:val="20"/>
              </w:rPr>
              <w:t>92,06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7C22" w:rsidRPr="001F6C56" w:rsidRDefault="00880DE7" w:rsidP="009255A4">
            <w:pPr>
              <w:jc w:val="center"/>
              <w:rPr>
                <w:sz w:val="20"/>
                <w:lang w:val="en-US"/>
              </w:rPr>
            </w:pPr>
            <w:r w:rsidRPr="001F6C56">
              <w:rPr>
                <w:sz w:val="20"/>
                <w:lang w:val="en-US"/>
              </w:rPr>
              <w:t>5 939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C22" w:rsidRPr="001F6C56" w:rsidRDefault="009255A4" w:rsidP="009255A4">
            <w:pPr>
              <w:jc w:val="center"/>
              <w:rPr>
                <w:sz w:val="20"/>
              </w:rPr>
            </w:pPr>
            <w:r w:rsidRPr="001F6C56">
              <w:rPr>
                <w:sz w:val="20"/>
              </w:rPr>
              <w:t>88,32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C22" w:rsidRPr="001F6C56" w:rsidRDefault="00880DE7" w:rsidP="009255A4">
            <w:pPr>
              <w:jc w:val="center"/>
              <w:rPr>
                <w:sz w:val="20"/>
                <w:lang w:val="en-US"/>
              </w:rPr>
            </w:pPr>
            <w:r w:rsidRPr="001F6C56">
              <w:rPr>
                <w:sz w:val="20"/>
                <w:lang w:val="en-US"/>
              </w:rPr>
              <w:t>3 021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C22" w:rsidRPr="001F6C56" w:rsidRDefault="009255A4" w:rsidP="009255A4">
            <w:pPr>
              <w:jc w:val="center"/>
              <w:rPr>
                <w:sz w:val="20"/>
              </w:rPr>
            </w:pPr>
            <w:r w:rsidRPr="001F6C56">
              <w:rPr>
                <w:sz w:val="20"/>
              </w:rPr>
              <w:t>98,49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C22" w:rsidRPr="001F6C56" w:rsidRDefault="003A7916" w:rsidP="009255A4">
            <w:pPr>
              <w:jc w:val="center"/>
              <w:rPr>
                <w:sz w:val="20"/>
                <w:lang w:val="en-US"/>
              </w:rPr>
            </w:pPr>
            <w:r w:rsidRPr="001F6C56">
              <w:rPr>
                <w:sz w:val="20"/>
                <w:lang w:val="en-US"/>
              </w:rPr>
              <w:t>3 246</w:t>
            </w:r>
          </w:p>
        </w:tc>
      </w:tr>
      <w:tr w:rsidR="001F6C56" w:rsidRPr="001F6C56" w:rsidTr="00881D9E">
        <w:trPr>
          <w:trHeight w:val="275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7C22" w:rsidRPr="001F6C56" w:rsidRDefault="00077C22" w:rsidP="00077C22">
            <w:pPr>
              <w:jc w:val="center"/>
              <w:rPr>
                <w:sz w:val="20"/>
              </w:rPr>
            </w:pPr>
            <w:r w:rsidRPr="001F6C56">
              <w:rPr>
                <w:sz w:val="20"/>
              </w:rPr>
              <w:t>АИ-98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77C22" w:rsidRPr="001F6C56" w:rsidRDefault="009255A4" w:rsidP="009255A4">
            <w:pPr>
              <w:jc w:val="center"/>
              <w:rPr>
                <w:sz w:val="20"/>
              </w:rPr>
            </w:pPr>
            <w:r w:rsidRPr="001F6C56">
              <w:rPr>
                <w:sz w:val="20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7C22" w:rsidRPr="001F6C56" w:rsidRDefault="00880DE7" w:rsidP="009255A4">
            <w:pPr>
              <w:jc w:val="center"/>
              <w:rPr>
                <w:sz w:val="20"/>
                <w:lang w:val="en-US"/>
              </w:rPr>
            </w:pPr>
            <w:r w:rsidRPr="001F6C56">
              <w:rPr>
                <w:sz w:val="20"/>
                <w:lang w:val="en-US"/>
              </w:rPr>
              <w:t>5 177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77C22" w:rsidRPr="001F6C56" w:rsidRDefault="009255A4" w:rsidP="009255A4">
            <w:pPr>
              <w:jc w:val="center"/>
              <w:rPr>
                <w:sz w:val="20"/>
              </w:rPr>
            </w:pPr>
            <w:r w:rsidRPr="001F6C56">
              <w:rPr>
                <w:sz w:val="20"/>
              </w:rPr>
              <w:t>99,51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C22" w:rsidRPr="001F6C56" w:rsidRDefault="00880DE7" w:rsidP="009255A4">
            <w:pPr>
              <w:jc w:val="center"/>
              <w:rPr>
                <w:sz w:val="20"/>
                <w:lang w:val="en-US"/>
              </w:rPr>
            </w:pPr>
            <w:r w:rsidRPr="001F6C56">
              <w:rPr>
                <w:sz w:val="20"/>
                <w:lang w:val="en-US"/>
              </w:rPr>
              <w:t>4 975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C22" w:rsidRPr="001F6C56" w:rsidRDefault="009255A4" w:rsidP="009255A4">
            <w:pPr>
              <w:jc w:val="center"/>
              <w:rPr>
                <w:sz w:val="20"/>
              </w:rPr>
            </w:pPr>
            <w:r w:rsidRPr="001F6C56">
              <w:rPr>
                <w:sz w:val="20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7C22" w:rsidRPr="001F6C56" w:rsidRDefault="003A7916" w:rsidP="009255A4">
            <w:pPr>
              <w:jc w:val="center"/>
              <w:rPr>
                <w:sz w:val="20"/>
                <w:lang w:val="en-US"/>
              </w:rPr>
            </w:pPr>
            <w:r w:rsidRPr="001F6C56">
              <w:rPr>
                <w:sz w:val="20"/>
                <w:lang w:val="en-US"/>
              </w:rPr>
              <w:t>10 000</w:t>
            </w:r>
          </w:p>
        </w:tc>
      </w:tr>
    </w:tbl>
    <w:p w:rsidR="00B95DCA" w:rsidRPr="00077C22" w:rsidRDefault="007C2652" w:rsidP="00077C22">
      <w:pPr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fldChar w:fldCharType="end"/>
      </w:r>
      <w:r w:rsidR="0090472B" w:rsidRPr="00077C22">
        <w:rPr>
          <w:color w:val="000000"/>
          <w:sz w:val="25"/>
          <w:szCs w:val="25"/>
          <w:shd w:val="clear" w:color="auto" w:fill="FFFFFF"/>
        </w:rPr>
        <w:t>В соответствии с показателями коэффициента рыночной концентрации и индекса рыночной концентра</w:t>
      </w:r>
      <w:r w:rsidR="00C567D0" w:rsidRPr="00077C22">
        <w:rPr>
          <w:color w:val="000000"/>
          <w:sz w:val="25"/>
          <w:szCs w:val="25"/>
          <w:shd w:val="clear" w:color="auto" w:fill="FFFFFF"/>
        </w:rPr>
        <w:t xml:space="preserve">ции </w:t>
      </w:r>
      <w:proofErr w:type="spellStart"/>
      <w:r w:rsidR="00C567D0" w:rsidRPr="00077C22">
        <w:rPr>
          <w:color w:val="000000"/>
          <w:sz w:val="25"/>
          <w:szCs w:val="25"/>
          <w:shd w:val="clear" w:color="auto" w:fill="FFFFFF"/>
        </w:rPr>
        <w:t>Герфиндаля</w:t>
      </w:r>
      <w:proofErr w:type="spellEnd"/>
      <w:r w:rsidR="00C567D0" w:rsidRPr="00077C22">
        <w:rPr>
          <w:color w:val="000000"/>
          <w:sz w:val="25"/>
          <w:szCs w:val="25"/>
          <w:shd w:val="clear" w:color="auto" w:fill="FFFFFF"/>
        </w:rPr>
        <w:t xml:space="preserve"> - </w:t>
      </w:r>
      <w:proofErr w:type="spellStart"/>
      <w:r w:rsidR="00C567D0" w:rsidRPr="00077C22">
        <w:rPr>
          <w:color w:val="000000"/>
          <w:sz w:val="25"/>
          <w:szCs w:val="25"/>
          <w:shd w:val="clear" w:color="auto" w:fill="FFFFFF"/>
        </w:rPr>
        <w:t>Гиршмана</w:t>
      </w:r>
      <w:proofErr w:type="spellEnd"/>
      <w:r w:rsidR="00C567D0" w:rsidRPr="00077C22">
        <w:rPr>
          <w:color w:val="000000"/>
          <w:sz w:val="25"/>
          <w:szCs w:val="25"/>
          <w:shd w:val="clear" w:color="auto" w:fill="FFFFFF"/>
        </w:rPr>
        <w:t xml:space="preserve"> в 201</w:t>
      </w:r>
      <w:r w:rsidR="003A7916">
        <w:rPr>
          <w:color w:val="000000"/>
          <w:sz w:val="25"/>
          <w:szCs w:val="25"/>
          <w:shd w:val="clear" w:color="auto" w:fill="FFFFFF"/>
        </w:rPr>
        <w:t>9</w:t>
      </w:r>
      <w:r w:rsidR="0090472B" w:rsidRPr="00077C22">
        <w:rPr>
          <w:color w:val="000000"/>
          <w:sz w:val="25"/>
          <w:szCs w:val="25"/>
          <w:shd w:val="clear" w:color="auto" w:fill="FFFFFF"/>
        </w:rPr>
        <w:t xml:space="preserve"> году рынки автомобильных бензинов марок АИ-80, АИ-92, АИ-95 и АИ-98 относятся к рынкам с высоким уровнем концентрации (п</w:t>
      </w:r>
      <w:r w:rsidR="00B95DCA" w:rsidRPr="00077C22">
        <w:rPr>
          <w:sz w:val="25"/>
          <w:szCs w:val="25"/>
        </w:rPr>
        <w:t xml:space="preserve">ри 70% </w:t>
      </w:r>
      <w:r w:rsidR="00B95DCA" w:rsidRPr="00077C22">
        <w:rPr>
          <w:sz w:val="25"/>
          <w:szCs w:val="25"/>
          <w:u w:val="single"/>
        </w:rPr>
        <w:t>&lt;</w:t>
      </w:r>
      <w:r w:rsidR="00B95DCA" w:rsidRPr="00077C22">
        <w:rPr>
          <w:sz w:val="25"/>
          <w:szCs w:val="25"/>
          <w:lang w:val="en-US"/>
        </w:rPr>
        <w:t>CR</w:t>
      </w:r>
      <w:r w:rsidR="00B95DCA" w:rsidRPr="00077C22">
        <w:rPr>
          <w:sz w:val="25"/>
          <w:szCs w:val="25"/>
          <w:vertAlign w:val="subscript"/>
        </w:rPr>
        <w:t>3</w:t>
      </w:r>
      <w:r w:rsidR="00B95DCA" w:rsidRPr="00077C22">
        <w:rPr>
          <w:sz w:val="25"/>
          <w:szCs w:val="25"/>
        </w:rPr>
        <w:t xml:space="preserve"> </w:t>
      </w:r>
      <w:r w:rsidR="00B95DCA" w:rsidRPr="00077C22">
        <w:rPr>
          <w:sz w:val="25"/>
          <w:szCs w:val="25"/>
          <w:u w:val="single"/>
        </w:rPr>
        <w:t>&lt;</w:t>
      </w:r>
      <w:r w:rsidR="00B95DCA" w:rsidRPr="00077C22">
        <w:rPr>
          <w:sz w:val="25"/>
          <w:szCs w:val="25"/>
        </w:rPr>
        <w:t>100%   или 2000</w:t>
      </w:r>
      <w:r w:rsidR="00B95DCA" w:rsidRPr="00077C22">
        <w:rPr>
          <w:sz w:val="25"/>
          <w:szCs w:val="25"/>
          <w:u w:val="single"/>
        </w:rPr>
        <w:t>&lt;</w:t>
      </w:r>
      <w:r w:rsidR="00B95DCA" w:rsidRPr="00077C22">
        <w:rPr>
          <w:sz w:val="25"/>
          <w:szCs w:val="25"/>
        </w:rPr>
        <w:t xml:space="preserve"> </w:t>
      </w:r>
      <w:r w:rsidR="00B95DCA" w:rsidRPr="00077C22">
        <w:rPr>
          <w:sz w:val="25"/>
          <w:szCs w:val="25"/>
          <w:lang w:val="en-US"/>
        </w:rPr>
        <w:t>HHI</w:t>
      </w:r>
      <w:r w:rsidR="00B95DCA" w:rsidRPr="00077C22">
        <w:rPr>
          <w:sz w:val="25"/>
          <w:szCs w:val="25"/>
        </w:rPr>
        <w:t xml:space="preserve"> </w:t>
      </w:r>
      <w:r w:rsidR="00B95DCA" w:rsidRPr="00077C22">
        <w:rPr>
          <w:sz w:val="25"/>
          <w:szCs w:val="25"/>
          <w:u w:val="single"/>
        </w:rPr>
        <w:t>&lt;</w:t>
      </w:r>
      <w:r w:rsidR="00B95DCA" w:rsidRPr="00077C22">
        <w:rPr>
          <w:sz w:val="25"/>
          <w:szCs w:val="25"/>
        </w:rPr>
        <w:t>10000 ,  уров</w:t>
      </w:r>
      <w:r w:rsidR="0090472B" w:rsidRPr="00077C22">
        <w:rPr>
          <w:sz w:val="25"/>
          <w:szCs w:val="25"/>
        </w:rPr>
        <w:t>ень концентрации рынка высокий).</w:t>
      </w:r>
    </w:p>
    <w:p w:rsidR="006A356E" w:rsidRPr="00077C22" w:rsidRDefault="006A356E" w:rsidP="005E07C8">
      <w:pPr>
        <w:ind w:firstLine="709"/>
        <w:jc w:val="center"/>
        <w:rPr>
          <w:b/>
          <w:sz w:val="25"/>
          <w:szCs w:val="25"/>
        </w:rPr>
      </w:pPr>
      <w:r w:rsidRPr="00077C22">
        <w:rPr>
          <w:b/>
          <w:sz w:val="25"/>
          <w:szCs w:val="25"/>
          <w:u w:val="single"/>
        </w:rPr>
        <w:t>Определение барьер</w:t>
      </w:r>
      <w:r w:rsidR="0088176D" w:rsidRPr="00077C22">
        <w:rPr>
          <w:b/>
          <w:sz w:val="25"/>
          <w:szCs w:val="25"/>
          <w:u w:val="single"/>
        </w:rPr>
        <w:t xml:space="preserve">ов </w:t>
      </w:r>
      <w:r w:rsidRPr="00077C22">
        <w:rPr>
          <w:b/>
          <w:sz w:val="25"/>
          <w:szCs w:val="25"/>
          <w:u w:val="single"/>
        </w:rPr>
        <w:t xml:space="preserve"> входа на товарный рынок</w:t>
      </w:r>
    </w:p>
    <w:p w:rsidR="006A356E" w:rsidRPr="00077C22" w:rsidRDefault="006A356E" w:rsidP="006C7C24">
      <w:pPr>
        <w:ind w:firstLine="709"/>
        <w:jc w:val="both"/>
        <w:rPr>
          <w:sz w:val="25"/>
          <w:szCs w:val="25"/>
        </w:rPr>
      </w:pPr>
    </w:p>
    <w:p w:rsidR="0088176D" w:rsidRPr="00077C22" w:rsidRDefault="006A356E" w:rsidP="006C7C24">
      <w:pPr>
        <w:pStyle w:val="20"/>
        <w:rPr>
          <w:sz w:val="25"/>
          <w:szCs w:val="25"/>
        </w:rPr>
      </w:pPr>
      <w:r w:rsidRPr="00077C22">
        <w:rPr>
          <w:sz w:val="25"/>
          <w:szCs w:val="25"/>
        </w:rPr>
        <w:t>К барьерам, затрудняющим и ограничивающим хозяйствующим субъектам начало деятельности на исследуемом товарном рынке, относятся:</w:t>
      </w:r>
    </w:p>
    <w:p w:rsidR="00A64BBA" w:rsidRPr="00C056DC" w:rsidRDefault="006A356E" w:rsidP="006C7C24">
      <w:pPr>
        <w:pStyle w:val="20"/>
        <w:numPr>
          <w:ilvl w:val="0"/>
          <w:numId w:val="6"/>
        </w:numPr>
        <w:ind w:left="0" w:firstLine="709"/>
        <w:rPr>
          <w:color w:val="FF0000"/>
          <w:sz w:val="25"/>
          <w:szCs w:val="25"/>
        </w:rPr>
      </w:pPr>
      <w:r w:rsidRPr="00077C22">
        <w:rPr>
          <w:sz w:val="25"/>
          <w:szCs w:val="25"/>
        </w:rPr>
        <w:t>Эконом</w:t>
      </w:r>
      <w:r w:rsidR="00A64BBA" w:rsidRPr="00077C22">
        <w:rPr>
          <w:sz w:val="25"/>
          <w:szCs w:val="25"/>
        </w:rPr>
        <w:t>ические ограничения</w:t>
      </w:r>
      <w:r w:rsidR="00374806">
        <w:rPr>
          <w:sz w:val="25"/>
          <w:szCs w:val="25"/>
        </w:rPr>
        <w:t>:</w:t>
      </w:r>
      <w:bookmarkStart w:id="0" w:name="_GoBack"/>
      <w:bookmarkEnd w:id="0"/>
      <w:r w:rsidR="00A64BBA" w:rsidRPr="00077C22">
        <w:rPr>
          <w:sz w:val="25"/>
          <w:szCs w:val="25"/>
        </w:rPr>
        <w:t xml:space="preserve"> необходим</w:t>
      </w:r>
      <w:r w:rsidR="00243E25">
        <w:rPr>
          <w:sz w:val="25"/>
          <w:szCs w:val="25"/>
        </w:rPr>
        <w:t xml:space="preserve">ость осуществления значительных </w:t>
      </w:r>
      <w:r w:rsidR="00A64BBA" w:rsidRPr="00077C22">
        <w:rPr>
          <w:sz w:val="25"/>
          <w:szCs w:val="25"/>
        </w:rPr>
        <w:t>первоначальных инвестиций и</w:t>
      </w:r>
      <w:r w:rsidRPr="00077C22">
        <w:rPr>
          <w:sz w:val="25"/>
          <w:szCs w:val="25"/>
        </w:rPr>
        <w:t xml:space="preserve"> капитальны</w:t>
      </w:r>
      <w:r w:rsidR="00A64BBA" w:rsidRPr="00077C22">
        <w:rPr>
          <w:sz w:val="25"/>
          <w:szCs w:val="25"/>
        </w:rPr>
        <w:t>х затрат</w:t>
      </w:r>
      <w:r w:rsidRPr="00077C22">
        <w:rPr>
          <w:sz w:val="25"/>
          <w:szCs w:val="25"/>
        </w:rPr>
        <w:t xml:space="preserve"> на строительство</w:t>
      </w:r>
      <w:r w:rsidR="009A78F8" w:rsidRPr="00077C22">
        <w:rPr>
          <w:sz w:val="25"/>
          <w:szCs w:val="25"/>
        </w:rPr>
        <w:t xml:space="preserve"> и эксплуатацию</w:t>
      </w:r>
      <w:r w:rsidRPr="00077C22">
        <w:rPr>
          <w:sz w:val="25"/>
          <w:szCs w:val="25"/>
        </w:rPr>
        <w:t xml:space="preserve"> АЗС</w:t>
      </w:r>
      <w:r w:rsidR="009A78F8" w:rsidRPr="00077C22">
        <w:rPr>
          <w:sz w:val="25"/>
          <w:szCs w:val="25"/>
        </w:rPr>
        <w:t>/АЗК</w:t>
      </w:r>
      <w:r w:rsidR="00243E25">
        <w:rPr>
          <w:sz w:val="25"/>
          <w:szCs w:val="25"/>
        </w:rPr>
        <w:t xml:space="preserve"> при длительных сроках окупаемости этих вложений. Издержки выхода с рынка, включающие инвестиции, которые невозможно возместить при прекращении хозяйственной деятельности. </w:t>
      </w:r>
      <w:r w:rsidR="00A64BBA" w:rsidRPr="00077C22">
        <w:rPr>
          <w:sz w:val="25"/>
          <w:szCs w:val="25"/>
        </w:rPr>
        <w:t>Отсутствие НПЗ в регионе, что приводит к высоким затратам на доставку топлива в регион</w:t>
      </w:r>
      <w:r w:rsidR="00060CE9" w:rsidRPr="00077C22">
        <w:rPr>
          <w:sz w:val="25"/>
          <w:szCs w:val="25"/>
        </w:rPr>
        <w:t xml:space="preserve"> (</w:t>
      </w:r>
      <w:proofErr w:type="gramStart"/>
      <w:r w:rsidR="00060CE9" w:rsidRPr="00077C22">
        <w:rPr>
          <w:sz w:val="25"/>
          <w:szCs w:val="25"/>
        </w:rPr>
        <w:t>как ж</w:t>
      </w:r>
      <w:proofErr w:type="gramEnd"/>
      <w:r w:rsidR="00060CE9" w:rsidRPr="00077C22">
        <w:rPr>
          <w:sz w:val="25"/>
          <w:szCs w:val="25"/>
        </w:rPr>
        <w:t xml:space="preserve">/д транспортом, так и </w:t>
      </w:r>
      <w:r w:rsidR="00B55B99" w:rsidRPr="00077C22">
        <w:rPr>
          <w:sz w:val="25"/>
          <w:szCs w:val="25"/>
        </w:rPr>
        <w:t>автомобильным</w:t>
      </w:r>
      <w:r w:rsidR="00060CE9" w:rsidRPr="00077C22">
        <w:rPr>
          <w:sz w:val="25"/>
          <w:szCs w:val="25"/>
        </w:rPr>
        <w:t>).</w:t>
      </w:r>
      <w:r w:rsidR="00C056DC" w:rsidRPr="00C056DC">
        <w:rPr>
          <w:sz w:val="25"/>
          <w:szCs w:val="25"/>
        </w:rPr>
        <w:t xml:space="preserve"> </w:t>
      </w:r>
      <w:r w:rsidR="00243E25">
        <w:rPr>
          <w:sz w:val="25"/>
          <w:szCs w:val="25"/>
        </w:rPr>
        <w:t>Резкое повышение поставщиками оптовых цен.</w:t>
      </w:r>
    </w:p>
    <w:p w:rsidR="001F6C56" w:rsidRDefault="006A356E" w:rsidP="001F6C56">
      <w:pPr>
        <w:pStyle w:val="20"/>
        <w:numPr>
          <w:ilvl w:val="0"/>
          <w:numId w:val="6"/>
        </w:numPr>
        <w:ind w:left="0" w:firstLine="709"/>
        <w:rPr>
          <w:sz w:val="25"/>
          <w:szCs w:val="25"/>
        </w:rPr>
      </w:pPr>
      <w:r w:rsidRPr="001F6C56">
        <w:rPr>
          <w:sz w:val="25"/>
          <w:szCs w:val="25"/>
        </w:rPr>
        <w:t xml:space="preserve">Административные ограничения – </w:t>
      </w:r>
      <w:r w:rsidR="003E05EB" w:rsidRPr="001F6C56">
        <w:rPr>
          <w:sz w:val="25"/>
          <w:szCs w:val="25"/>
        </w:rPr>
        <w:t>вводимые органами государственной власти и местного самоуправления и иными органами и организациями, наделенными правами данных органов</w:t>
      </w:r>
      <w:r w:rsidR="00374806">
        <w:rPr>
          <w:sz w:val="25"/>
          <w:szCs w:val="25"/>
        </w:rPr>
        <w:t xml:space="preserve">, в том числе </w:t>
      </w:r>
      <w:r w:rsidR="003E05EB" w:rsidRPr="001F6C56">
        <w:rPr>
          <w:sz w:val="25"/>
          <w:szCs w:val="25"/>
        </w:rPr>
        <w:t>взимание</w:t>
      </w:r>
      <w:r w:rsidR="00607F82" w:rsidRPr="001F6C56">
        <w:rPr>
          <w:sz w:val="25"/>
          <w:szCs w:val="25"/>
        </w:rPr>
        <w:t xml:space="preserve"> платы за пользование федеральными дорогами.</w:t>
      </w:r>
      <w:r w:rsidR="00514A11" w:rsidRPr="001F6C56">
        <w:rPr>
          <w:sz w:val="25"/>
          <w:szCs w:val="25"/>
        </w:rPr>
        <w:t xml:space="preserve"> </w:t>
      </w:r>
    </w:p>
    <w:p w:rsidR="007B237A" w:rsidRPr="001F6C56" w:rsidRDefault="00485C9D" w:rsidP="001F6C56">
      <w:pPr>
        <w:pStyle w:val="20"/>
        <w:numPr>
          <w:ilvl w:val="0"/>
          <w:numId w:val="6"/>
        </w:numPr>
        <w:tabs>
          <w:tab w:val="left" w:pos="993"/>
        </w:tabs>
        <w:ind w:left="0" w:firstLine="709"/>
        <w:rPr>
          <w:sz w:val="25"/>
          <w:szCs w:val="25"/>
        </w:rPr>
      </w:pPr>
      <w:r w:rsidRPr="001F6C56">
        <w:rPr>
          <w:sz w:val="25"/>
          <w:szCs w:val="25"/>
        </w:rPr>
        <w:t>Стратегия поведения действующих на рынке хозяйствующих субъектов,</w:t>
      </w:r>
      <w:r w:rsidR="007B237A" w:rsidRPr="001F6C56">
        <w:rPr>
          <w:sz w:val="25"/>
          <w:szCs w:val="25"/>
        </w:rPr>
        <w:t xml:space="preserve"> направленная на создание барьеров входа на рынок</w:t>
      </w:r>
      <w:r w:rsidR="00374806">
        <w:rPr>
          <w:sz w:val="25"/>
          <w:szCs w:val="25"/>
        </w:rPr>
        <w:t>:</w:t>
      </w:r>
      <w:r w:rsidR="007B237A" w:rsidRPr="001F6C56">
        <w:rPr>
          <w:sz w:val="25"/>
          <w:szCs w:val="25"/>
        </w:rPr>
        <w:t xml:space="preserve"> установление поставщиками запрета продажи бензина коммерческим организациям.</w:t>
      </w:r>
    </w:p>
    <w:p w:rsidR="00060CE9" w:rsidRPr="004C7246" w:rsidRDefault="00485C9D" w:rsidP="00485C9D">
      <w:pPr>
        <w:ind w:right="-58" w:firstLine="709"/>
        <w:jc w:val="both"/>
        <w:rPr>
          <w:bCs/>
          <w:sz w:val="25"/>
          <w:szCs w:val="25"/>
        </w:rPr>
      </w:pPr>
      <w:r w:rsidRPr="005759B5">
        <w:rPr>
          <w:bCs/>
          <w:sz w:val="25"/>
          <w:szCs w:val="25"/>
        </w:rPr>
        <w:lastRenderedPageBreak/>
        <w:t>4.</w:t>
      </w:r>
      <w:r w:rsidR="00907707" w:rsidRPr="005759B5">
        <w:rPr>
          <w:bCs/>
          <w:sz w:val="25"/>
          <w:szCs w:val="25"/>
        </w:rPr>
        <w:t xml:space="preserve"> </w:t>
      </w:r>
      <w:r w:rsidRPr="005759B5">
        <w:rPr>
          <w:bCs/>
          <w:sz w:val="25"/>
          <w:szCs w:val="25"/>
        </w:rPr>
        <w:t>Н</w:t>
      </w:r>
      <w:r w:rsidR="00907707" w:rsidRPr="005759B5">
        <w:rPr>
          <w:bCs/>
          <w:sz w:val="25"/>
          <w:szCs w:val="25"/>
        </w:rPr>
        <w:t>аличие среди действующих на рынке хозя</w:t>
      </w:r>
      <w:r w:rsidRPr="005759B5">
        <w:rPr>
          <w:bCs/>
          <w:sz w:val="25"/>
          <w:szCs w:val="25"/>
        </w:rPr>
        <w:t xml:space="preserve">йствующих субъектов вертикально </w:t>
      </w:r>
      <w:r w:rsidR="00907707" w:rsidRPr="005759B5">
        <w:rPr>
          <w:bCs/>
          <w:sz w:val="25"/>
          <w:szCs w:val="25"/>
        </w:rPr>
        <w:t xml:space="preserve">интегрированных хозяйствующих субъектов, которые приводят к созданию барьеров входа </w:t>
      </w:r>
      <w:r w:rsidR="00907707" w:rsidRPr="004C7246">
        <w:rPr>
          <w:bCs/>
          <w:sz w:val="25"/>
          <w:szCs w:val="25"/>
        </w:rPr>
        <w:t>на рынок</w:t>
      </w:r>
      <w:r w:rsidR="00417971" w:rsidRPr="004C7246">
        <w:rPr>
          <w:bCs/>
          <w:sz w:val="25"/>
          <w:szCs w:val="25"/>
        </w:rPr>
        <w:t xml:space="preserve"> –</w:t>
      </w:r>
      <w:r w:rsidR="005A7418" w:rsidRPr="004C7246">
        <w:rPr>
          <w:bCs/>
          <w:sz w:val="25"/>
          <w:szCs w:val="25"/>
        </w:rPr>
        <w:t xml:space="preserve"> ос</w:t>
      </w:r>
      <w:r w:rsidR="00060CE9" w:rsidRPr="004C7246">
        <w:rPr>
          <w:bCs/>
          <w:sz w:val="25"/>
          <w:szCs w:val="25"/>
        </w:rPr>
        <w:t>уществление деятельности ВИНК на смежных товар</w:t>
      </w:r>
      <w:r w:rsidR="005A7418" w:rsidRPr="004C7246">
        <w:rPr>
          <w:bCs/>
          <w:sz w:val="25"/>
          <w:szCs w:val="25"/>
        </w:rPr>
        <w:t>ных рынках</w:t>
      </w:r>
      <w:r w:rsidR="00060CE9" w:rsidRPr="004C7246">
        <w:rPr>
          <w:bCs/>
          <w:sz w:val="25"/>
          <w:szCs w:val="25"/>
        </w:rPr>
        <w:t>: оптовой реализации и розничной реализации нефтепродуктов усиливает их рыночные позиции в регионе.</w:t>
      </w:r>
      <w:r w:rsidR="00AE5482" w:rsidRPr="004C7246">
        <w:rPr>
          <w:bCs/>
          <w:sz w:val="25"/>
          <w:szCs w:val="25"/>
        </w:rPr>
        <w:t xml:space="preserve"> </w:t>
      </w:r>
      <w:r w:rsidR="00060CE9" w:rsidRPr="004C7246">
        <w:rPr>
          <w:bCs/>
          <w:sz w:val="25"/>
          <w:szCs w:val="25"/>
        </w:rPr>
        <w:t>Принадлежность АЗС ВИНК дает преимущество и с точки</w:t>
      </w:r>
      <w:r w:rsidR="00164E53" w:rsidRPr="004C7246">
        <w:rPr>
          <w:bCs/>
          <w:sz w:val="25"/>
          <w:szCs w:val="25"/>
        </w:rPr>
        <w:t xml:space="preserve"> зрения гарантированной обеспеченности товаром (нефтепродуктами), так как в случае дефицита</w:t>
      </w:r>
      <w:r w:rsidR="00C32940" w:rsidRPr="004C7246">
        <w:rPr>
          <w:bCs/>
          <w:sz w:val="25"/>
          <w:szCs w:val="25"/>
        </w:rPr>
        <w:t>,</w:t>
      </w:r>
      <w:r w:rsidR="00164E53" w:rsidRPr="004C7246">
        <w:rPr>
          <w:bCs/>
          <w:sz w:val="25"/>
          <w:szCs w:val="25"/>
        </w:rPr>
        <w:t xml:space="preserve"> нефтеперера</w:t>
      </w:r>
      <w:r w:rsidR="00C32940" w:rsidRPr="004C7246">
        <w:rPr>
          <w:bCs/>
          <w:sz w:val="25"/>
          <w:szCs w:val="25"/>
        </w:rPr>
        <w:t xml:space="preserve">батывающие заводы </w:t>
      </w:r>
      <w:proofErr w:type="gramStart"/>
      <w:r w:rsidR="00C32940" w:rsidRPr="004C7246">
        <w:rPr>
          <w:bCs/>
          <w:sz w:val="25"/>
          <w:szCs w:val="25"/>
        </w:rPr>
        <w:t>обеспечивают</w:t>
      </w:r>
      <w:proofErr w:type="gramEnd"/>
      <w:r w:rsidR="00C32940" w:rsidRPr="004C7246">
        <w:rPr>
          <w:bCs/>
          <w:sz w:val="25"/>
          <w:szCs w:val="25"/>
        </w:rPr>
        <w:t xml:space="preserve"> </w:t>
      </w:r>
      <w:r w:rsidR="00164E53" w:rsidRPr="004C7246">
        <w:rPr>
          <w:bCs/>
          <w:sz w:val="25"/>
          <w:szCs w:val="25"/>
        </w:rPr>
        <w:t>прежде всего собственную розничную сеть АЗС.</w:t>
      </w:r>
      <w:r w:rsidR="00243E25" w:rsidRPr="004C7246">
        <w:rPr>
          <w:bCs/>
          <w:sz w:val="25"/>
          <w:szCs w:val="25"/>
        </w:rPr>
        <w:t xml:space="preserve"> Значительные средства, выделяемые ВИНК на рекламные компании, создают преимущества в виде отождествления их товара как продукции самого высокого и стабильного качества.</w:t>
      </w:r>
    </w:p>
    <w:p w:rsidR="00565C3A" w:rsidRPr="004C7246" w:rsidRDefault="00164E53" w:rsidP="00485C9D">
      <w:pPr>
        <w:ind w:right="-58" w:firstLine="709"/>
        <w:jc w:val="both"/>
        <w:rPr>
          <w:bCs/>
          <w:sz w:val="25"/>
          <w:szCs w:val="25"/>
        </w:rPr>
      </w:pPr>
      <w:r w:rsidRPr="004C7246">
        <w:rPr>
          <w:bCs/>
          <w:sz w:val="25"/>
          <w:szCs w:val="25"/>
        </w:rPr>
        <w:t>В сфере ценообразования ВИНК также имеет преимущества. При росте о</w:t>
      </w:r>
      <w:r w:rsidR="00C32940" w:rsidRPr="004C7246">
        <w:rPr>
          <w:bCs/>
          <w:sz w:val="25"/>
          <w:szCs w:val="25"/>
        </w:rPr>
        <w:t>птовых цен на топливо, в отличие</w:t>
      </w:r>
      <w:r w:rsidRPr="004C7246">
        <w:rPr>
          <w:bCs/>
          <w:sz w:val="25"/>
          <w:szCs w:val="25"/>
        </w:rPr>
        <w:t xml:space="preserve"> от других компаний, имеет возможность сдерживания роста розничных цен, получая дополнительное конкурентное преимущество. Расходы на доставку нефтепродуктов в регион, в</w:t>
      </w:r>
      <w:r w:rsidR="00C32940" w:rsidRPr="004C7246">
        <w:rPr>
          <w:bCs/>
          <w:sz w:val="25"/>
          <w:szCs w:val="25"/>
        </w:rPr>
        <w:t xml:space="preserve"> </w:t>
      </w:r>
      <w:proofErr w:type="spellStart"/>
      <w:r w:rsidRPr="004C7246">
        <w:rPr>
          <w:bCs/>
          <w:sz w:val="25"/>
          <w:szCs w:val="25"/>
        </w:rPr>
        <w:t>т.ч</w:t>
      </w:r>
      <w:proofErr w:type="spellEnd"/>
      <w:r w:rsidRPr="004C7246">
        <w:rPr>
          <w:bCs/>
          <w:sz w:val="25"/>
          <w:szCs w:val="25"/>
        </w:rPr>
        <w:t>. через цепочку</w:t>
      </w:r>
      <w:r w:rsidR="00C32940" w:rsidRPr="004C7246">
        <w:rPr>
          <w:bCs/>
          <w:sz w:val="25"/>
          <w:szCs w:val="25"/>
        </w:rPr>
        <w:t xml:space="preserve"> </w:t>
      </w:r>
      <w:r w:rsidR="00565C3A" w:rsidRPr="004C7246">
        <w:rPr>
          <w:bCs/>
          <w:sz w:val="25"/>
          <w:szCs w:val="25"/>
        </w:rPr>
        <w:t>посредников, приводя</w:t>
      </w:r>
      <w:r w:rsidRPr="004C7246">
        <w:rPr>
          <w:bCs/>
          <w:sz w:val="25"/>
          <w:szCs w:val="25"/>
        </w:rPr>
        <w:t xml:space="preserve">т к удорожанию себестоимости продукции для компаний, не входящих в ВИНК. </w:t>
      </w:r>
    </w:p>
    <w:p w:rsidR="00164E53" w:rsidRPr="004C7246" w:rsidRDefault="00164E53" w:rsidP="00485C9D">
      <w:pPr>
        <w:ind w:right="-58" w:firstLine="709"/>
        <w:jc w:val="both"/>
        <w:rPr>
          <w:bCs/>
          <w:sz w:val="25"/>
          <w:szCs w:val="25"/>
        </w:rPr>
      </w:pPr>
      <w:r w:rsidRPr="004C7246">
        <w:rPr>
          <w:bCs/>
          <w:sz w:val="25"/>
          <w:szCs w:val="25"/>
        </w:rPr>
        <w:t>Большинство владельцев АЗС при формировании розничных цен ориентируются на цены АЗС</w:t>
      </w:r>
      <w:r w:rsidR="00243E25" w:rsidRPr="004C7246">
        <w:rPr>
          <w:bCs/>
          <w:sz w:val="25"/>
          <w:szCs w:val="25"/>
        </w:rPr>
        <w:t xml:space="preserve"> ВИНК</w:t>
      </w:r>
      <w:r w:rsidRPr="004C7246">
        <w:rPr>
          <w:bCs/>
          <w:sz w:val="25"/>
          <w:szCs w:val="25"/>
        </w:rPr>
        <w:t xml:space="preserve"> как ценового лидера. При более высокой себестоимости продукции независимые участ</w:t>
      </w:r>
      <w:r w:rsidR="00C32940" w:rsidRPr="004C7246">
        <w:rPr>
          <w:bCs/>
          <w:sz w:val="25"/>
          <w:szCs w:val="25"/>
        </w:rPr>
        <w:t>н</w:t>
      </w:r>
      <w:r w:rsidRPr="004C7246">
        <w:rPr>
          <w:bCs/>
          <w:sz w:val="25"/>
          <w:szCs w:val="25"/>
        </w:rPr>
        <w:t xml:space="preserve">ики рынка вынуждены придерживаться ценовой политики </w:t>
      </w:r>
      <w:proofErr w:type="gramStart"/>
      <w:r w:rsidRPr="004C7246">
        <w:rPr>
          <w:bCs/>
          <w:sz w:val="25"/>
          <w:szCs w:val="25"/>
        </w:rPr>
        <w:t>ВИНК</w:t>
      </w:r>
      <w:proofErr w:type="gramEnd"/>
      <w:r w:rsidRPr="004C7246">
        <w:rPr>
          <w:bCs/>
          <w:sz w:val="25"/>
          <w:szCs w:val="25"/>
        </w:rPr>
        <w:t xml:space="preserve"> чтобы удержать покупателей. </w:t>
      </w:r>
    </w:p>
    <w:p w:rsidR="00C61AC6" w:rsidRPr="004C7246" w:rsidRDefault="00C61AC6" w:rsidP="00C32940">
      <w:pPr>
        <w:pStyle w:val="20"/>
        <w:ind w:firstLine="0"/>
        <w:rPr>
          <w:sz w:val="25"/>
          <w:szCs w:val="25"/>
        </w:rPr>
      </w:pPr>
    </w:p>
    <w:p w:rsidR="005A43D6" w:rsidRPr="004C7246" w:rsidRDefault="009B0C4B" w:rsidP="005E07C8">
      <w:pPr>
        <w:pStyle w:val="20"/>
        <w:jc w:val="center"/>
        <w:rPr>
          <w:b/>
          <w:sz w:val="25"/>
          <w:szCs w:val="25"/>
        </w:rPr>
      </w:pPr>
      <w:r w:rsidRPr="004C7246">
        <w:rPr>
          <w:b/>
          <w:sz w:val="25"/>
          <w:szCs w:val="25"/>
          <w:u w:val="single"/>
        </w:rPr>
        <w:t xml:space="preserve">Оценка </w:t>
      </w:r>
      <w:r w:rsidR="005A43D6" w:rsidRPr="004C7246">
        <w:rPr>
          <w:b/>
          <w:sz w:val="25"/>
          <w:szCs w:val="25"/>
          <w:u w:val="single"/>
        </w:rPr>
        <w:t>состояния конкурентной среды на товарном рынке</w:t>
      </w:r>
    </w:p>
    <w:p w:rsidR="005A43D6" w:rsidRPr="004C7246" w:rsidRDefault="005A43D6" w:rsidP="006C7C24">
      <w:pPr>
        <w:pStyle w:val="20"/>
        <w:rPr>
          <w:b/>
          <w:sz w:val="25"/>
          <w:szCs w:val="25"/>
        </w:rPr>
      </w:pPr>
      <w:r w:rsidRPr="004C7246">
        <w:rPr>
          <w:b/>
          <w:sz w:val="25"/>
          <w:szCs w:val="25"/>
        </w:rPr>
        <w:t xml:space="preserve"> </w:t>
      </w:r>
    </w:p>
    <w:p w:rsidR="009B0C4B" w:rsidRPr="004C7246" w:rsidRDefault="009B0C4B" w:rsidP="00237F0B">
      <w:pPr>
        <w:ind w:firstLine="709"/>
        <w:jc w:val="both"/>
        <w:rPr>
          <w:sz w:val="25"/>
          <w:szCs w:val="25"/>
        </w:rPr>
      </w:pPr>
      <w:r w:rsidRPr="004C7246">
        <w:rPr>
          <w:sz w:val="25"/>
          <w:szCs w:val="25"/>
        </w:rPr>
        <w:t>На основании показателей уровня концентрации рынка, наличия и преодолимости барьеров входа на рынок можно сделать вывод о том, что рынки ро</w:t>
      </w:r>
      <w:r w:rsidR="00531C2E" w:rsidRPr="004C7246">
        <w:rPr>
          <w:sz w:val="25"/>
          <w:szCs w:val="25"/>
        </w:rPr>
        <w:t xml:space="preserve">зничной реализации бензина А-80, </w:t>
      </w:r>
      <w:r w:rsidRPr="004C7246">
        <w:rPr>
          <w:sz w:val="25"/>
          <w:szCs w:val="25"/>
        </w:rPr>
        <w:t>АИ-92</w:t>
      </w:r>
      <w:r w:rsidR="00531C2E" w:rsidRPr="004C7246">
        <w:rPr>
          <w:sz w:val="25"/>
          <w:szCs w:val="25"/>
        </w:rPr>
        <w:t xml:space="preserve">, </w:t>
      </w:r>
      <w:r w:rsidRPr="004C7246">
        <w:rPr>
          <w:sz w:val="25"/>
          <w:szCs w:val="25"/>
        </w:rPr>
        <w:t xml:space="preserve"> АИ-95</w:t>
      </w:r>
      <w:r w:rsidR="00531C2E" w:rsidRPr="004C7246">
        <w:rPr>
          <w:sz w:val="25"/>
          <w:szCs w:val="25"/>
        </w:rPr>
        <w:t>,</w:t>
      </w:r>
      <w:r w:rsidRPr="004C7246">
        <w:rPr>
          <w:sz w:val="25"/>
          <w:szCs w:val="25"/>
        </w:rPr>
        <w:t xml:space="preserve"> АИ-98 в </w:t>
      </w:r>
      <w:r w:rsidR="00531C2E" w:rsidRPr="004C7246">
        <w:rPr>
          <w:sz w:val="25"/>
          <w:szCs w:val="25"/>
        </w:rPr>
        <w:t>границах Ульяновской области, МО г. Ульяновск, МО г. Димитровград относ</w:t>
      </w:r>
      <w:r w:rsidR="00A06A95" w:rsidRPr="004C7246">
        <w:rPr>
          <w:sz w:val="25"/>
          <w:szCs w:val="25"/>
        </w:rPr>
        <w:t>я</w:t>
      </w:r>
      <w:r w:rsidR="00531C2E" w:rsidRPr="004C7246">
        <w:rPr>
          <w:sz w:val="25"/>
          <w:szCs w:val="25"/>
        </w:rPr>
        <w:t>тся к рынк</w:t>
      </w:r>
      <w:r w:rsidR="00A06A95" w:rsidRPr="004C7246">
        <w:rPr>
          <w:sz w:val="25"/>
          <w:szCs w:val="25"/>
        </w:rPr>
        <w:t>ам</w:t>
      </w:r>
      <w:r w:rsidR="00531C2E" w:rsidRPr="004C7246">
        <w:rPr>
          <w:sz w:val="25"/>
          <w:szCs w:val="25"/>
        </w:rPr>
        <w:t xml:space="preserve"> с неразвитой конкуренцией.</w:t>
      </w:r>
      <w:r w:rsidRPr="004C7246">
        <w:rPr>
          <w:sz w:val="25"/>
          <w:szCs w:val="25"/>
        </w:rPr>
        <w:t> </w:t>
      </w:r>
    </w:p>
    <w:p w:rsidR="009B0C4B" w:rsidRPr="004C7246" w:rsidRDefault="009B0C4B" w:rsidP="009B0C4B">
      <w:pPr>
        <w:spacing w:after="84" w:line="318" w:lineRule="atLeast"/>
        <w:jc w:val="both"/>
        <w:textAlignment w:val="baseline"/>
        <w:rPr>
          <w:sz w:val="25"/>
          <w:szCs w:val="25"/>
        </w:rPr>
      </w:pPr>
    </w:p>
    <w:p w:rsidR="006726BE" w:rsidRPr="004C7246" w:rsidRDefault="006726BE" w:rsidP="006726BE">
      <w:pPr>
        <w:pStyle w:val="20"/>
        <w:jc w:val="center"/>
        <w:rPr>
          <w:b/>
          <w:sz w:val="25"/>
          <w:szCs w:val="25"/>
          <w:u w:val="single"/>
        </w:rPr>
      </w:pPr>
      <w:r w:rsidRPr="004C7246">
        <w:rPr>
          <w:b/>
          <w:sz w:val="25"/>
          <w:szCs w:val="25"/>
          <w:u w:val="single"/>
        </w:rPr>
        <w:t>Выводы</w:t>
      </w:r>
    </w:p>
    <w:p w:rsidR="00E678E6" w:rsidRPr="004C7246" w:rsidRDefault="00667DA7" w:rsidP="005C73E2">
      <w:pPr>
        <w:pStyle w:val="20"/>
        <w:rPr>
          <w:sz w:val="25"/>
          <w:szCs w:val="25"/>
        </w:rPr>
      </w:pPr>
      <w:r w:rsidRPr="004C7246">
        <w:rPr>
          <w:sz w:val="25"/>
          <w:szCs w:val="25"/>
        </w:rPr>
        <w:t>По результатам анализа состояния конкурентной среды на товарном рынке автомобильных бензинов</w:t>
      </w:r>
      <w:r w:rsidR="00354B8C" w:rsidRPr="004C7246">
        <w:rPr>
          <w:sz w:val="25"/>
          <w:szCs w:val="25"/>
        </w:rPr>
        <w:t xml:space="preserve"> установлено, что </w:t>
      </w:r>
      <w:r w:rsidR="00E53259">
        <w:rPr>
          <w:sz w:val="25"/>
          <w:szCs w:val="25"/>
        </w:rPr>
        <w:t xml:space="preserve">доминирующее положению на рынке розничной реализации </w:t>
      </w:r>
      <w:r w:rsidR="00354B8C" w:rsidRPr="004C7246">
        <w:rPr>
          <w:sz w:val="25"/>
          <w:szCs w:val="25"/>
        </w:rPr>
        <w:t>автомобильных бензинов</w:t>
      </w:r>
      <w:r w:rsidR="00E53259">
        <w:rPr>
          <w:sz w:val="25"/>
          <w:szCs w:val="25"/>
        </w:rPr>
        <w:t xml:space="preserve"> занимают следующие хозяйствующие субъекты</w:t>
      </w:r>
      <w:r w:rsidR="00E678E6" w:rsidRPr="004C7246">
        <w:rPr>
          <w:sz w:val="25"/>
          <w:szCs w:val="25"/>
        </w:rPr>
        <w:t>:</w:t>
      </w:r>
    </w:p>
    <w:p w:rsidR="00E678E6" w:rsidRPr="004C7246" w:rsidRDefault="00E678E6" w:rsidP="005C73E2">
      <w:pPr>
        <w:pStyle w:val="20"/>
        <w:rPr>
          <w:sz w:val="25"/>
          <w:szCs w:val="25"/>
        </w:rPr>
      </w:pPr>
      <w:r w:rsidRPr="004C7246">
        <w:rPr>
          <w:sz w:val="25"/>
          <w:szCs w:val="25"/>
        </w:rPr>
        <w:t xml:space="preserve">1) </w:t>
      </w:r>
      <w:r w:rsidR="00354B8C" w:rsidRPr="004C7246">
        <w:rPr>
          <w:sz w:val="25"/>
          <w:szCs w:val="25"/>
        </w:rPr>
        <w:t xml:space="preserve"> </w:t>
      </w:r>
      <w:r w:rsidRPr="004C7246">
        <w:rPr>
          <w:sz w:val="25"/>
          <w:szCs w:val="25"/>
        </w:rPr>
        <w:t>в границах МО г. Ульяновск:</w:t>
      </w:r>
    </w:p>
    <w:p w:rsidR="004C7246" w:rsidRPr="004C7246" w:rsidRDefault="00420921" w:rsidP="005D74BD">
      <w:pPr>
        <w:pStyle w:val="20"/>
        <w:rPr>
          <w:sz w:val="25"/>
          <w:szCs w:val="25"/>
        </w:rPr>
      </w:pPr>
      <w:r w:rsidRPr="004C7246">
        <w:rPr>
          <w:sz w:val="25"/>
          <w:szCs w:val="25"/>
        </w:rPr>
        <w:t>- О</w:t>
      </w:r>
      <w:r w:rsidR="004C7246" w:rsidRPr="004C7246">
        <w:rPr>
          <w:sz w:val="25"/>
          <w:szCs w:val="25"/>
        </w:rPr>
        <w:t>ОО «Татнефть-АЗС Центр» по марке бензина</w:t>
      </w:r>
      <w:r w:rsidRPr="004C7246">
        <w:rPr>
          <w:sz w:val="25"/>
          <w:szCs w:val="25"/>
        </w:rPr>
        <w:t xml:space="preserve"> АИ-76 (80)</w:t>
      </w:r>
      <w:r w:rsidR="00503D40" w:rsidRPr="004C7246">
        <w:rPr>
          <w:sz w:val="25"/>
          <w:szCs w:val="25"/>
        </w:rPr>
        <w:t xml:space="preserve"> (</w:t>
      </w:r>
      <w:r w:rsidR="00332244" w:rsidRPr="004C7246">
        <w:rPr>
          <w:sz w:val="25"/>
          <w:szCs w:val="25"/>
        </w:rPr>
        <w:t>9</w:t>
      </w:r>
      <w:r w:rsidR="004C7246" w:rsidRPr="004C7246">
        <w:rPr>
          <w:sz w:val="25"/>
          <w:szCs w:val="25"/>
        </w:rPr>
        <w:t>3</w:t>
      </w:r>
      <w:r w:rsidR="00A06A95" w:rsidRPr="004C7246">
        <w:rPr>
          <w:sz w:val="25"/>
          <w:szCs w:val="25"/>
        </w:rPr>
        <w:t>,</w:t>
      </w:r>
      <w:r w:rsidR="004C7246" w:rsidRPr="004C7246">
        <w:rPr>
          <w:sz w:val="25"/>
          <w:szCs w:val="25"/>
        </w:rPr>
        <w:t>50</w:t>
      </w:r>
      <w:r w:rsidR="00503D40" w:rsidRPr="004C7246">
        <w:rPr>
          <w:sz w:val="25"/>
          <w:szCs w:val="25"/>
        </w:rPr>
        <w:t>%)</w:t>
      </w:r>
      <w:r w:rsidR="004C7246" w:rsidRPr="004C7246">
        <w:rPr>
          <w:sz w:val="25"/>
          <w:szCs w:val="25"/>
        </w:rPr>
        <w:t>;</w:t>
      </w:r>
    </w:p>
    <w:p w:rsidR="005D74BD" w:rsidRPr="004C7246" w:rsidRDefault="005D74BD" w:rsidP="005D74BD">
      <w:pPr>
        <w:pStyle w:val="20"/>
        <w:rPr>
          <w:sz w:val="25"/>
          <w:szCs w:val="25"/>
        </w:rPr>
      </w:pPr>
      <w:r w:rsidRPr="004C7246">
        <w:rPr>
          <w:sz w:val="25"/>
          <w:szCs w:val="25"/>
        </w:rPr>
        <w:t>- ООО «Л-</w:t>
      </w:r>
      <w:proofErr w:type="spellStart"/>
      <w:r w:rsidRPr="004C7246">
        <w:rPr>
          <w:sz w:val="25"/>
          <w:szCs w:val="25"/>
        </w:rPr>
        <w:t>Ульяновскнефтепродукт</w:t>
      </w:r>
      <w:proofErr w:type="spellEnd"/>
      <w:r w:rsidRPr="004C7246">
        <w:rPr>
          <w:sz w:val="25"/>
          <w:szCs w:val="25"/>
        </w:rPr>
        <w:t xml:space="preserve">» по марке </w:t>
      </w:r>
      <w:r w:rsidR="004C7246" w:rsidRPr="004C7246">
        <w:rPr>
          <w:sz w:val="25"/>
          <w:szCs w:val="25"/>
        </w:rPr>
        <w:t>бензина</w:t>
      </w:r>
      <w:r w:rsidRPr="004C7246">
        <w:rPr>
          <w:sz w:val="25"/>
          <w:szCs w:val="25"/>
        </w:rPr>
        <w:t xml:space="preserve"> АИ-98 (</w:t>
      </w:r>
      <w:r w:rsidR="004C7246" w:rsidRPr="004C7246">
        <w:rPr>
          <w:sz w:val="25"/>
          <w:szCs w:val="25"/>
        </w:rPr>
        <w:t>55,59</w:t>
      </w:r>
      <w:r w:rsidRPr="004C7246">
        <w:rPr>
          <w:sz w:val="25"/>
          <w:szCs w:val="25"/>
        </w:rPr>
        <w:t>%).</w:t>
      </w:r>
    </w:p>
    <w:p w:rsidR="00420921" w:rsidRPr="004C7246" w:rsidRDefault="00B85CF6" w:rsidP="005C73E2">
      <w:pPr>
        <w:pStyle w:val="20"/>
        <w:rPr>
          <w:sz w:val="25"/>
          <w:szCs w:val="25"/>
        </w:rPr>
      </w:pPr>
      <w:r>
        <w:rPr>
          <w:sz w:val="25"/>
          <w:szCs w:val="25"/>
        </w:rPr>
        <w:t>2</w:t>
      </w:r>
      <w:r w:rsidR="005D74BD" w:rsidRPr="004C7246">
        <w:rPr>
          <w:sz w:val="25"/>
          <w:szCs w:val="25"/>
        </w:rPr>
        <w:t>) в границах МО г. Димитровград</w:t>
      </w:r>
      <w:r w:rsidR="00420921" w:rsidRPr="004C7246">
        <w:rPr>
          <w:sz w:val="25"/>
          <w:szCs w:val="25"/>
        </w:rPr>
        <w:t>:</w:t>
      </w:r>
    </w:p>
    <w:p w:rsidR="00403224" w:rsidRPr="004C7246" w:rsidRDefault="00403224" w:rsidP="005C73E2">
      <w:pPr>
        <w:pStyle w:val="20"/>
        <w:rPr>
          <w:sz w:val="25"/>
          <w:szCs w:val="25"/>
        </w:rPr>
      </w:pPr>
      <w:r w:rsidRPr="004C7246">
        <w:rPr>
          <w:sz w:val="25"/>
          <w:szCs w:val="25"/>
        </w:rPr>
        <w:t xml:space="preserve">- ООО «Татнефть-АЗС Центр» по марке </w:t>
      </w:r>
      <w:r w:rsidR="004C7246" w:rsidRPr="004C7246">
        <w:rPr>
          <w:sz w:val="25"/>
          <w:szCs w:val="25"/>
        </w:rPr>
        <w:t>бензина</w:t>
      </w:r>
      <w:r w:rsidRPr="004C7246">
        <w:rPr>
          <w:sz w:val="25"/>
          <w:szCs w:val="25"/>
        </w:rPr>
        <w:t xml:space="preserve"> АИ-76 (80)</w:t>
      </w:r>
      <w:r w:rsidR="007D2C30" w:rsidRPr="004C7246">
        <w:rPr>
          <w:sz w:val="25"/>
          <w:szCs w:val="25"/>
        </w:rPr>
        <w:t xml:space="preserve"> (100%)</w:t>
      </w:r>
      <w:r w:rsidR="00846AEB" w:rsidRPr="004C7246">
        <w:rPr>
          <w:sz w:val="25"/>
          <w:szCs w:val="25"/>
        </w:rPr>
        <w:t>;</w:t>
      </w:r>
    </w:p>
    <w:p w:rsidR="00846AEB" w:rsidRPr="004C7246" w:rsidRDefault="00846AEB" w:rsidP="005C73E2">
      <w:pPr>
        <w:pStyle w:val="20"/>
        <w:rPr>
          <w:sz w:val="25"/>
          <w:szCs w:val="25"/>
        </w:rPr>
      </w:pPr>
      <w:r w:rsidRPr="004C7246">
        <w:rPr>
          <w:sz w:val="25"/>
          <w:szCs w:val="25"/>
        </w:rPr>
        <w:t>-</w:t>
      </w:r>
      <w:r w:rsidR="005D74BD" w:rsidRPr="004C7246">
        <w:rPr>
          <w:sz w:val="25"/>
          <w:szCs w:val="25"/>
        </w:rPr>
        <w:t xml:space="preserve"> ООО «Л-</w:t>
      </w:r>
      <w:proofErr w:type="spellStart"/>
      <w:r w:rsidR="005D74BD" w:rsidRPr="004C7246">
        <w:rPr>
          <w:sz w:val="25"/>
          <w:szCs w:val="25"/>
        </w:rPr>
        <w:t>Ульяновскнефтепродукт</w:t>
      </w:r>
      <w:proofErr w:type="spellEnd"/>
      <w:r w:rsidR="005D74BD" w:rsidRPr="004C7246">
        <w:rPr>
          <w:sz w:val="25"/>
          <w:szCs w:val="25"/>
        </w:rPr>
        <w:t xml:space="preserve">» по марке </w:t>
      </w:r>
      <w:r w:rsidR="00E91E8C" w:rsidRPr="004C7246">
        <w:rPr>
          <w:sz w:val="25"/>
          <w:szCs w:val="25"/>
        </w:rPr>
        <w:t>товара</w:t>
      </w:r>
      <w:r w:rsidR="005D74BD" w:rsidRPr="004C7246">
        <w:rPr>
          <w:sz w:val="25"/>
          <w:szCs w:val="25"/>
        </w:rPr>
        <w:t xml:space="preserve"> АИ-98 (</w:t>
      </w:r>
      <w:r w:rsidR="004C7246" w:rsidRPr="004C7246">
        <w:rPr>
          <w:sz w:val="25"/>
          <w:szCs w:val="25"/>
        </w:rPr>
        <w:t>100</w:t>
      </w:r>
      <w:r w:rsidR="005D74BD" w:rsidRPr="004C7246">
        <w:rPr>
          <w:sz w:val="25"/>
          <w:szCs w:val="25"/>
        </w:rPr>
        <w:t>%).</w:t>
      </w:r>
    </w:p>
    <w:p w:rsidR="0037787B" w:rsidRDefault="0037787B" w:rsidP="005C73E2">
      <w:pPr>
        <w:pStyle w:val="20"/>
        <w:rPr>
          <w:sz w:val="25"/>
          <w:szCs w:val="25"/>
        </w:rPr>
      </w:pPr>
    </w:p>
    <w:p w:rsidR="00B85CF6" w:rsidRPr="004C7246" w:rsidRDefault="00B85CF6" w:rsidP="005C73E2">
      <w:pPr>
        <w:pStyle w:val="20"/>
        <w:rPr>
          <w:sz w:val="25"/>
          <w:szCs w:val="25"/>
        </w:rPr>
      </w:pPr>
      <w:r>
        <w:rPr>
          <w:sz w:val="25"/>
          <w:szCs w:val="25"/>
        </w:rPr>
        <w:t>31.07.2020</w:t>
      </w:r>
    </w:p>
    <w:sectPr w:rsidR="00B85CF6" w:rsidRPr="004C7246" w:rsidSect="00A06A95">
      <w:headerReference w:type="even" r:id="rId9"/>
      <w:footerReference w:type="default" r:id="rId10"/>
      <w:pgSz w:w="11906" w:h="16838" w:code="9"/>
      <w:pgMar w:top="1134" w:right="851" w:bottom="1134" w:left="1418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E5" w:rsidRDefault="00671CE5">
      <w:r>
        <w:separator/>
      </w:r>
    </w:p>
  </w:endnote>
  <w:endnote w:type="continuationSeparator" w:id="0">
    <w:p w:rsidR="00671CE5" w:rsidRDefault="0067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032"/>
      <w:docPartObj>
        <w:docPartGallery w:val="Page Numbers (Bottom of Page)"/>
        <w:docPartUnique/>
      </w:docPartObj>
    </w:sdtPr>
    <w:sdtEndPr/>
    <w:sdtContent>
      <w:p w:rsidR="00A06A95" w:rsidRDefault="00982A26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8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06A95" w:rsidRDefault="00A06A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E5" w:rsidRDefault="00671CE5">
      <w:r>
        <w:separator/>
      </w:r>
    </w:p>
  </w:footnote>
  <w:footnote w:type="continuationSeparator" w:id="0">
    <w:p w:rsidR="00671CE5" w:rsidRDefault="0067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AA" w:rsidRDefault="007C265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57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57AA" w:rsidRDefault="001657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7F28"/>
    <w:multiLevelType w:val="singleLevel"/>
    <w:tmpl w:val="E242B13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25E204B"/>
    <w:multiLevelType w:val="hybridMultilevel"/>
    <w:tmpl w:val="F55ED93C"/>
    <w:lvl w:ilvl="0" w:tplc="3CB41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02EC1"/>
    <w:multiLevelType w:val="hybridMultilevel"/>
    <w:tmpl w:val="6CC4F280"/>
    <w:lvl w:ilvl="0" w:tplc="AC64EF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D56FB"/>
    <w:multiLevelType w:val="hybridMultilevel"/>
    <w:tmpl w:val="E98075D0"/>
    <w:lvl w:ilvl="0" w:tplc="96909F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CB526C"/>
    <w:multiLevelType w:val="hybridMultilevel"/>
    <w:tmpl w:val="AB3EE848"/>
    <w:lvl w:ilvl="0" w:tplc="978EAAF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F5885"/>
    <w:multiLevelType w:val="hybridMultilevel"/>
    <w:tmpl w:val="92CE5D0A"/>
    <w:lvl w:ilvl="0" w:tplc="9B767962">
      <w:start w:val="1"/>
      <w:numFmt w:val="decimal"/>
      <w:lvlText w:val="%1."/>
      <w:lvlJc w:val="left"/>
      <w:pPr>
        <w:ind w:left="2358" w:hanging="13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AA2631B"/>
    <w:multiLevelType w:val="hybridMultilevel"/>
    <w:tmpl w:val="EDF2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F7BCA"/>
    <w:multiLevelType w:val="hybridMultilevel"/>
    <w:tmpl w:val="B11616C6"/>
    <w:lvl w:ilvl="0" w:tplc="1D04795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32B38BD"/>
    <w:multiLevelType w:val="hybridMultilevel"/>
    <w:tmpl w:val="D6980AEE"/>
    <w:lvl w:ilvl="0" w:tplc="327E7E7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80B33EC"/>
    <w:multiLevelType w:val="hybridMultilevel"/>
    <w:tmpl w:val="C9E8889C"/>
    <w:lvl w:ilvl="0" w:tplc="B9BC15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11"/>
    <w:rsid w:val="00003809"/>
    <w:rsid w:val="00004F70"/>
    <w:rsid w:val="00006F58"/>
    <w:rsid w:val="000162AA"/>
    <w:rsid w:val="00032053"/>
    <w:rsid w:val="00032A8E"/>
    <w:rsid w:val="00037F0F"/>
    <w:rsid w:val="00043B27"/>
    <w:rsid w:val="0005330D"/>
    <w:rsid w:val="00060CE9"/>
    <w:rsid w:val="00074210"/>
    <w:rsid w:val="0007583F"/>
    <w:rsid w:val="0007696B"/>
    <w:rsid w:val="00077C22"/>
    <w:rsid w:val="00081A6D"/>
    <w:rsid w:val="000824C3"/>
    <w:rsid w:val="000834EB"/>
    <w:rsid w:val="00083FF1"/>
    <w:rsid w:val="00085376"/>
    <w:rsid w:val="00087B64"/>
    <w:rsid w:val="00091C23"/>
    <w:rsid w:val="00093E80"/>
    <w:rsid w:val="00096E36"/>
    <w:rsid w:val="000A7FEE"/>
    <w:rsid w:val="000B1128"/>
    <w:rsid w:val="000B1C20"/>
    <w:rsid w:val="000B6738"/>
    <w:rsid w:val="000C311D"/>
    <w:rsid w:val="000D12A9"/>
    <w:rsid w:val="000D71C1"/>
    <w:rsid w:val="000E17E7"/>
    <w:rsid w:val="000E1B41"/>
    <w:rsid w:val="000F0A34"/>
    <w:rsid w:val="000F6E09"/>
    <w:rsid w:val="000F79A1"/>
    <w:rsid w:val="00100C48"/>
    <w:rsid w:val="0010228D"/>
    <w:rsid w:val="001067C9"/>
    <w:rsid w:val="00106F04"/>
    <w:rsid w:val="0010711D"/>
    <w:rsid w:val="00112F64"/>
    <w:rsid w:val="00113FD0"/>
    <w:rsid w:val="00116CC9"/>
    <w:rsid w:val="00121671"/>
    <w:rsid w:val="00121D1E"/>
    <w:rsid w:val="00123FC8"/>
    <w:rsid w:val="0013146F"/>
    <w:rsid w:val="0013178E"/>
    <w:rsid w:val="00156703"/>
    <w:rsid w:val="00161596"/>
    <w:rsid w:val="00161B95"/>
    <w:rsid w:val="001623A5"/>
    <w:rsid w:val="00163EED"/>
    <w:rsid w:val="00164E53"/>
    <w:rsid w:val="00165095"/>
    <w:rsid w:val="001657AA"/>
    <w:rsid w:val="00176A83"/>
    <w:rsid w:val="00177D5B"/>
    <w:rsid w:val="00183493"/>
    <w:rsid w:val="00185E41"/>
    <w:rsid w:val="0019605A"/>
    <w:rsid w:val="001A35A7"/>
    <w:rsid w:val="001A4995"/>
    <w:rsid w:val="001A4B2D"/>
    <w:rsid w:val="001A5174"/>
    <w:rsid w:val="001B31EE"/>
    <w:rsid w:val="001B3956"/>
    <w:rsid w:val="001B5763"/>
    <w:rsid w:val="001C2D05"/>
    <w:rsid w:val="001C2D4E"/>
    <w:rsid w:val="001D0A65"/>
    <w:rsid w:val="001D33CC"/>
    <w:rsid w:val="001D7E40"/>
    <w:rsid w:val="001E0461"/>
    <w:rsid w:val="001E3A34"/>
    <w:rsid w:val="001F261F"/>
    <w:rsid w:val="001F6C56"/>
    <w:rsid w:val="00200AAD"/>
    <w:rsid w:val="00201447"/>
    <w:rsid w:val="00207DD6"/>
    <w:rsid w:val="00211BDD"/>
    <w:rsid w:val="00220EFD"/>
    <w:rsid w:val="00233F54"/>
    <w:rsid w:val="00237F0B"/>
    <w:rsid w:val="00243D88"/>
    <w:rsid w:val="00243E25"/>
    <w:rsid w:val="002472BE"/>
    <w:rsid w:val="0025229C"/>
    <w:rsid w:val="00257C74"/>
    <w:rsid w:val="0026133D"/>
    <w:rsid w:val="00262469"/>
    <w:rsid w:val="00262A38"/>
    <w:rsid w:val="002648E3"/>
    <w:rsid w:val="00272A3B"/>
    <w:rsid w:val="00275557"/>
    <w:rsid w:val="00276560"/>
    <w:rsid w:val="00276918"/>
    <w:rsid w:val="0028022B"/>
    <w:rsid w:val="0028075B"/>
    <w:rsid w:val="00282D57"/>
    <w:rsid w:val="00282D83"/>
    <w:rsid w:val="002834E3"/>
    <w:rsid w:val="0028748E"/>
    <w:rsid w:val="002968DD"/>
    <w:rsid w:val="002A41E5"/>
    <w:rsid w:val="002B0663"/>
    <w:rsid w:val="002B50E7"/>
    <w:rsid w:val="002B6CFF"/>
    <w:rsid w:val="002C3F09"/>
    <w:rsid w:val="002C4AAB"/>
    <w:rsid w:val="002D2B71"/>
    <w:rsid w:val="002D30DC"/>
    <w:rsid w:val="002D40E3"/>
    <w:rsid w:val="002D5280"/>
    <w:rsid w:val="002D61CB"/>
    <w:rsid w:val="002F7DC1"/>
    <w:rsid w:val="0030665D"/>
    <w:rsid w:val="00310EBD"/>
    <w:rsid w:val="00323DA3"/>
    <w:rsid w:val="00326FF0"/>
    <w:rsid w:val="00332244"/>
    <w:rsid w:val="003353C1"/>
    <w:rsid w:val="00337F8E"/>
    <w:rsid w:val="00343AC4"/>
    <w:rsid w:val="00354B8C"/>
    <w:rsid w:val="00366064"/>
    <w:rsid w:val="00367CE8"/>
    <w:rsid w:val="00374806"/>
    <w:rsid w:val="00375F33"/>
    <w:rsid w:val="0037787B"/>
    <w:rsid w:val="00380FBB"/>
    <w:rsid w:val="00381EB2"/>
    <w:rsid w:val="003907B6"/>
    <w:rsid w:val="003942A3"/>
    <w:rsid w:val="003943B3"/>
    <w:rsid w:val="003A3277"/>
    <w:rsid w:val="003A7311"/>
    <w:rsid w:val="003A7916"/>
    <w:rsid w:val="003B7C84"/>
    <w:rsid w:val="003C3FA0"/>
    <w:rsid w:val="003C5CA1"/>
    <w:rsid w:val="003E05EB"/>
    <w:rsid w:val="003F3114"/>
    <w:rsid w:val="003F38C2"/>
    <w:rsid w:val="00403224"/>
    <w:rsid w:val="00404586"/>
    <w:rsid w:val="00412967"/>
    <w:rsid w:val="00413FA1"/>
    <w:rsid w:val="00414A2D"/>
    <w:rsid w:val="00417971"/>
    <w:rsid w:val="00420921"/>
    <w:rsid w:val="004231B1"/>
    <w:rsid w:val="00435C78"/>
    <w:rsid w:val="00440569"/>
    <w:rsid w:val="00440869"/>
    <w:rsid w:val="00442AAE"/>
    <w:rsid w:val="00443021"/>
    <w:rsid w:val="0044605F"/>
    <w:rsid w:val="00452293"/>
    <w:rsid w:val="00452F91"/>
    <w:rsid w:val="004537C2"/>
    <w:rsid w:val="00461720"/>
    <w:rsid w:val="004639F9"/>
    <w:rsid w:val="00470544"/>
    <w:rsid w:val="004733F4"/>
    <w:rsid w:val="00474A1C"/>
    <w:rsid w:val="00485C9D"/>
    <w:rsid w:val="0048608E"/>
    <w:rsid w:val="0048642A"/>
    <w:rsid w:val="00490270"/>
    <w:rsid w:val="0049208A"/>
    <w:rsid w:val="0049236A"/>
    <w:rsid w:val="004A30D1"/>
    <w:rsid w:val="004A564C"/>
    <w:rsid w:val="004B279B"/>
    <w:rsid w:val="004C12B8"/>
    <w:rsid w:val="004C2875"/>
    <w:rsid w:val="004C5D13"/>
    <w:rsid w:val="004C7246"/>
    <w:rsid w:val="004D29D5"/>
    <w:rsid w:val="004D63F6"/>
    <w:rsid w:val="004E22AB"/>
    <w:rsid w:val="004F21A7"/>
    <w:rsid w:val="004F34F5"/>
    <w:rsid w:val="00503D40"/>
    <w:rsid w:val="005105FF"/>
    <w:rsid w:val="005129A8"/>
    <w:rsid w:val="00514A11"/>
    <w:rsid w:val="005161F1"/>
    <w:rsid w:val="005225DA"/>
    <w:rsid w:val="00522E02"/>
    <w:rsid w:val="005256B1"/>
    <w:rsid w:val="00527A93"/>
    <w:rsid w:val="00531C2E"/>
    <w:rsid w:val="00533022"/>
    <w:rsid w:val="00533BD6"/>
    <w:rsid w:val="00536081"/>
    <w:rsid w:val="00537EFE"/>
    <w:rsid w:val="00544054"/>
    <w:rsid w:val="00550E19"/>
    <w:rsid w:val="0055201F"/>
    <w:rsid w:val="005525F8"/>
    <w:rsid w:val="0055361B"/>
    <w:rsid w:val="00554700"/>
    <w:rsid w:val="00555490"/>
    <w:rsid w:val="00556D9D"/>
    <w:rsid w:val="00561379"/>
    <w:rsid w:val="00565C3A"/>
    <w:rsid w:val="00571E99"/>
    <w:rsid w:val="005759B5"/>
    <w:rsid w:val="00580100"/>
    <w:rsid w:val="00591250"/>
    <w:rsid w:val="00592EA3"/>
    <w:rsid w:val="005A174B"/>
    <w:rsid w:val="005A17B6"/>
    <w:rsid w:val="005A43D6"/>
    <w:rsid w:val="005A61A5"/>
    <w:rsid w:val="005A7418"/>
    <w:rsid w:val="005A7623"/>
    <w:rsid w:val="005B0D17"/>
    <w:rsid w:val="005B2DAE"/>
    <w:rsid w:val="005B41AF"/>
    <w:rsid w:val="005B58EB"/>
    <w:rsid w:val="005B6DF0"/>
    <w:rsid w:val="005C086D"/>
    <w:rsid w:val="005C1107"/>
    <w:rsid w:val="005C6425"/>
    <w:rsid w:val="005C73E2"/>
    <w:rsid w:val="005D181C"/>
    <w:rsid w:val="005D3D89"/>
    <w:rsid w:val="005D511D"/>
    <w:rsid w:val="005D74BD"/>
    <w:rsid w:val="005E054D"/>
    <w:rsid w:val="005E07C8"/>
    <w:rsid w:val="005E5A11"/>
    <w:rsid w:val="005F0BB9"/>
    <w:rsid w:val="005F6A6F"/>
    <w:rsid w:val="005F71E9"/>
    <w:rsid w:val="00604D72"/>
    <w:rsid w:val="00605422"/>
    <w:rsid w:val="00607F82"/>
    <w:rsid w:val="00610A39"/>
    <w:rsid w:val="00612E94"/>
    <w:rsid w:val="00616153"/>
    <w:rsid w:val="00626202"/>
    <w:rsid w:val="00631765"/>
    <w:rsid w:val="00635C94"/>
    <w:rsid w:val="006403B3"/>
    <w:rsid w:val="0064159F"/>
    <w:rsid w:val="00645D40"/>
    <w:rsid w:val="00646889"/>
    <w:rsid w:val="00652359"/>
    <w:rsid w:val="006529F9"/>
    <w:rsid w:val="006553E2"/>
    <w:rsid w:val="00660D6E"/>
    <w:rsid w:val="0066793A"/>
    <w:rsid w:val="00667DA7"/>
    <w:rsid w:val="00670B53"/>
    <w:rsid w:val="006711DC"/>
    <w:rsid w:val="00671CE5"/>
    <w:rsid w:val="006726BE"/>
    <w:rsid w:val="00673F6D"/>
    <w:rsid w:val="00677348"/>
    <w:rsid w:val="00677D5F"/>
    <w:rsid w:val="00685C3F"/>
    <w:rsid w:val="00697CDE"/>
    <w:rsid w:val="006A11ED"/>
    <w:rsid w:val="006A356E"/>
    <w:rsid w:val="006A7322"/>
    <w:rsid w:val="006B200A"/>
    <w:rsid w:val="006B204F"/>
    <w:rsid w:val="006B2C0A"/>
    <w:rsid w:val="006B3389"/>
    <w:rsid w:val="006B3DFD"/>
    <w:rsid w:val="006B4C1C"/>
    <w:rsid w:val="006C1446"/>
    <w:rsid w:val="006C431B"/>
    <w:rsid w:val="006C7C24"/>
    <w:rsid w:val="006E42DB"/>
    <w:rsid w:val="006F23AA"/>
    <w:rsid w:val="006F2707"/>
    <w:rsid w:val="006F5E86"/>
    <w:rsid w:val="00701BAF"/>
    <w:rsid w:val="007025BC"/>
    <w:rsid w:val="00705D62"/>
    <w:rsid w:val="00707DE7"/>
    <w:rsid w:val="00711671"/>
    <w:rsid w:val="00712EE0"/>
    <w:rsid w:val="007228FF"/>
    <w:rsid w:val="00723991"/>
    <w:rsid w:val="00724295"/>
    <w:rsid w:val="00724723"/>
    <w:rsid w:val="00725CA0"/>
    <w:rsid w:val="007264BA"/>
    <w:rsid w:val="00730E01"/>
    <w:rsid w:val="00732C05"/>
    <w:rsid w:val="00733B17"/>
    <w:rsid w:val="00735FE7"/>
    <w:rsid w:val="00740C5C"/>
    <w:rsid w:val="007412BB"/>
    <w:rsid w:val="00750048"/>
    <w:rsid w:val="0075254F"/>
    <w:rsid w:val="007635FF"/>
    <w:rsid w:val="00763A21"/>
    <w:rsid w:val="00766415"/>
    <w:rsid w:val="0076781E"/>
    <w:rsid w:val="00774576"/>
    <w:rsid w:val="007813EB"/>
    <w:rsid w:val="00782A9E"/>
    <w:rsid w:val="00793583"/>
    <w:rsid w:val="00794428"/>
    <w:rsid w:val="00794C81"/>
    <w:rsid w:val="007A0B3B"/>
    <w:rsid w:val="007A3CDA"/>
    <w:rsid w:val="007A6389"/>
    <w:rsid w:val="007A74BF"/>
    <w:rsid w:val="007B1411"/>
    <w:rsid w:val="007B216D"/>
    <w:rsid w:val="007B237A"/>
    <w:rsid w:val="007B3954"/>
    <w:rsid w:val="007B6560"/>
    <w:rsid w:val="007B76A1"/>
    <w:rsid w:val="007B78DB"/>
    <w:rsid w:val="007C2652"/>
    <w:rsid w:val="007C360D"/>
    <w:rsid w:val="007D0D4A"/>
    <w:rsid w:val="007D2C30"/>
    <w:rsid w:val="007D44AD"/>
    <w:rsid w:val="007D5FF1"/>
    <w:rsid w:val="007E1087"/>
    <w:rsid w:val="007E3A96"/>
    <w:rsid w:val="007F5B09"/>
    <w:rsid w:val="007F7051"/>
    <w:rsid w:val="00817778"/>
    <w:rsid w:val="00817BB8"/>
    <w:rsid w:val="00817FDB"/>
    <w:rsid w:val="0082136D"/>
    <w:rsid w:val="00821BBF"/>
    <w:rsid w:val="00825839"/>
    <w:rsid w:val="00831BD2"/>
    <w:rsid w:val="00833924"/>
    <w:rsid w:val="00840813"/>
    <w:rsid w:val="00840EC6"/>
    <w:rsid w:val="00844497"/>
    <w:rsid w:val="00846AEB"/>
    <w:rsid w:val="00851201"/>
    <w:rsid w:val="00853A76"/>
    <w:rsid w:val="008656A2"/>
    <w:rsid w:val="00865A16"/>
    <w:rsid w:val="0086732C"/>
    <w:rsid w:val="008757EA"/>
    <w:rsid w:val="00880DE7"/>
    <w:rsid w:val="0088176D"/>
    <w:rsid w:val="00881C04"/>
    <w:rsid w:val="00881D9E"/>
    <w:rsid w:val="00884B91"/>
    <w:rsid w:val="00887D4C"/>
    <w:rsid w:val="00891C53"/>
    <w:rsid w:val="008928F4"/>
    <w:rsid w:val="0089321B"/>
    <w:rsid w:val="00893964"/>
    <w:rsid w:val="008A0798"/>
    <w:rsid w:val="008A0C9C"/>
    <w:rsid w:val="008A2C2B"/>
    <w:rsid w:val="008B1910"/>
    <w:rsid w:val="008B5035"/>
    <w:rsid w:val="008B7D42"/>
    <w:rsid w:val="008D16AD"/>
    <w:rsid w:val="008E147B"/>
    <w:rsid w:val="008E7E2B"/>
    <w:rsid w:val="008F070A"/>
    <w:rsid w:val="008F5584"/>
    <w:rsid w:val="00903340"/>
    <w:rsid w:val="00903650"/>
    <w:rsid w:val="0090472B"/>
    <w:rsid w:val="00907707"/>
    <w:rsid w:val="009149FE"/>
    <w:rsid w:val="00915EA6"/>
    <w:rsid w:val="00916B26"/>
    <w:rsid w:val="00923256"/>
    <w:rsid w:val="0092331D"/>
    <w:rsid w:val="009255A4"/>
    <w:rsid w:val="00930C8D"/>
    <w:rsid w:val="00932438"/>
    <w:rsid w:val="009345AE"/>
    <w:rsid w:val="00950454"/>
    <w:rsid w:val="009540DC"/>
    <w:rsid w:val="00954230"/>
    <w:rsid w:val="00961576"/>
    <w:rsid w:val="00961890"/>
    <w:rsid w:val="00962565"/>
    <w:rsid w:val="00963422"/>
    <w:rsid w:val="00966E5E"/>
    <w:rsid w:val="00974222"/>
    <w:rsid w:val="009759A0"/>
    <w:rsid w:val="009760C7"/>
    <w:rsid w:val="00976A11"/>
    <w:rsid w:val="00981833"/>
    <w:rsid w:val="00982A26"/>
    <w:rsid w:val="00987BD3"/>
    <w:rsid w:val="009904EC"/>
    <w:rsid w:val="0099262A"/>
    <w:rsid w:val="0099327C"/>
    <w:rsid w:val="00994C4D"/>
    <w:rsid w:val="009A24FC"/>
    <w:rsid w:val="009A78F8"/>
    <w:rsid w:val="009B0C4B"/>
    <w:rsid w:val="009B1937"/>
    <w:rsid w:val="009B37CD"/>
    <w:rsid w:val="009B579E"/>
    <w:rsid w:val="009B6114"/>
    <w:rsid w:val="009C44C2"/>
    <w:rsid w:val="009C5C1A"/>
    <w:rsid w:val="009C6634"/>
    <w:rsid w:val="009D4DD9"/>
    <w:rsid w:val="009D7A42"/>
    <w:rsid w:val="009E0A59"/>
    <w:rsid w:val="009E4F70"/>
    <w:rsid w:val="009E71A1"/>
    <w:rsid w:val="009F01E2"/>
    <w:rsid w:val="009F44EA"/>
    <w:rsid w:val="009F6FB2"/>
    <w:rsid w:val="00A03E57"/>
    <w:rsid w:val="00A06A95"/>
    <w:rsid w:val="00A06C52"/>
    <w:rsid w:val="00A07CBD"/>
    <w:rsid w:val="00A158DF"/>
    <w:rsid w:val="00A1708D"/>
    <w:rsid w:val="00A21B95"/>
    <w:rsid w:val="00A22588"/>
    <w:rsid w:val="00A23F6D"/>
    <w:rsid w:val="00A26D47"/>
    <w:rsid w:val="00A26D94"/>
    <w:rsid w:val="00A30855"/>
    <w:rsid w:val="00A359F8"/>
    <w:rsid w:val="00A41DFF"/>
    <w:rsid w:val="00A5244B"/>
    <w:rsid w:val="00A56A24"/>
    <w:rsid w:val="00A61CC8"/>
    <w:rsid w:val="00A64BBA"/>
    <w:rsid w:val="00A71735"/>
    <w:rsid w:val="00A7415C"/>
    <w:rsid w:val="00A7629E"/>
    <w:rsid w:val="00A81C70"/>
    <w:rsid w:val="00A81DEF"/>
    <w:rsid w:val="00A92421"/>
    <w:rsid w:val="00A92DC8"/>
    <w:rsid w:val="00A93F2A"/>
    <w:rsid w:val="00A97570"/>
    <w:rsid w:val="00AA289F"/>
    <w:rsid w:val="00AA3652"/>
    <w:rsid w:val="00AB30D9"/>
    <w:rsid w:val="00AB3BD8"/>
    <w:rsid w:val="00AC052A"/>
    <w:rsid w:val="00AC1EF3"/>
    <w:rsid w:val="00AC36EB"/>
    <w:rsid w:val="00AE4412"/>
    <w:rsid w:val="00AE5306"/>
    <w:rsid w:val="00AE5482"/>
    <w:rsid w:val="00AE6C60"/>
    <w:rsid w:val="00AF152E"/>
    <w:rsid w:val="00AF6BBC"/>
    <w:rsid w:val="00B00614"/>
    <w:rsid w:val="00B010C5"/>
    <w:rsid w:val="00B049BD"/>
    <w:rsid w:val="00B04D51"/>
    <w:rsid w:val="00B10DA4"/>
    <w:rsid w:val="00B10DAE"/>
    <w:rsid w:val="00B10DE2"/>
    <w:rsid w:val="00B1682F"/>
    <w:rsid w:val="00B171FB"/>
    <w:rsid w:val="00B17268"/>
    <w:rsid w:val="00B207D7"/>
    <w:rsid w:val="00B23203"/>
    <w:rsid w:val="00B23B0B"/>
    <w:rsid w:val="00B26CDD"/>
    <w:rsid w:val="00B3329B"/>
    <w:rsid w:val="00B41189"/>
    <w:rsid w:val="00B41873"/>
    <w:rsid w:val="00B41947"/>
    <w:rsid w:val="00B425B1"/>
    <w:rsid w:val="00B50829"/>
    <w:rsid w:val="00B55722"/>
    <w:rsid w:val="00B55B99"/>
    <w:rsid w:val="00B56361"/>
    <w:rsid w:val="00B56D55"/>
    <w:rsid w:val="00B62A7A"/>
    <w:rsid w:val="00B64211"/>
    <w:rsid w:val="00B669A2"/>
    <w:rsid w:val="00B67717"/>
    <w:rsid w:val="00B71183"/>
    <w:rsid w:val="00B720DD"/>
    <w:rsid w:val="00B75C33"/>
    <w:rsid w:val="00B82C87"/>
    <w:rsid w:val="00B85CF6"/>
    <w:rsid w:val="00B9479B"/>
    <w:rsid w:val="00B95DCA"/>
    <w:rsid w:val="00BA6897"/>
    <w:rsid w:val="00BA7763"/>
    <w:rsid w:val="00BB13D0"/>
    <w:rsid w:val="00BB17D7"/>
    <w:rsid w:val="00BB1A40"/>
    <w:rsid w:val="00BC0748"/>
    <w:rsid w:val="00BC17BC"/>
    <w:rsid w:val="00BC1CAE"/>
    <w:rsid w:val="00BC28EF"/>
    <w:rsid w:val="00BC79A6"/>
    <w:rsid w:val="00BD02EE"/>
    <w:rsid w:val="00BD2CAA"/>
    <w:rsid w:val="00BD5B11"/>
    <w:rsid w:val="00BD66F7"/>
    <w:rsid w:val="00BF1576"/>
    <w:rsid w:val="00BF49AA"/>
    <w:rsid w:val="00BF71CA"/>
    <w:rsid w:val="00C056DC"/>
    <w:rsid w:val="00C21331"/>
    <w:rsid w:val="00C22ED6"/>
    <w:rsid w:val="00C233EB"/>
    <w:rsid w:val="00C244F8"/>
    <w:rsid w:val="00C277EB"/>
    <w:rsid w:val="00C30E42"/>
    <w:rsid w:val="00C32940"/>
    <w:rsid w:val="00C3361B"/>
    <w:rsid w:val="00C37499"/>
    <w:rsid w:val="00C40582"/>
    <w:rsid w:val="00C40586"/>
    <w:rsid w:val="00C40A5F"/>
    <w:rsid w:val="00C44A68"/>
    <w:rsid w:val="00C454B4"/>
    <w:rsid w:val="00C45D68"/>
    <w:rsid w:val="00C470C7"/>
    <w:rsid w:val="00C47F3D"/>
    <w:rsid w:val="00C54FE0"/>
    <w:rsid w:val="00C55D38"/>
    <w:rsid w:val="00C567D0"/>
    <w:rsid w:val="00C61AC6"/>
    <w:rsid w:val="00C6253B"/>
    <w:rsid w:val="00C67497"/>
    <w:rsid w:val="00C73FA9"/>
    <w:rsid w:val="00C75595"/>
    <w:rsid w:val="00C81FD3"/>
    <w:rsid w:val="00C83198"/>
    <w:rsid w:val="00C87F04"/>
    <w:rsid w:val="00C95EFC"/>
    <w:rsid w:val="00CA1185"/>
    <w:rsid w:val="00CA281D"/>
    <w:rsid w:val="00CA790D"/>
    <w:rsid w:val="00CB2CF6"/>
    <w:rsid w:val="00CB466F"/>
    <w:rsid w:val="00CC29A0"/>
    <w:rsid w:val="00CC3DCF"/>
    <w:rsid w:val="00CC4981"/>
    <w:rsid w:val="00CD6D60"/>
    <w:rsid w:val="00CE31C3"/>
    <w:rsid w:val="00CE3889"/>
    <w:rsid w:val="00CE4F2B"/>
    <w:rsid w:val="00CE678B"/>
    <w:rsid w:val="00CE681F"/>
    <w:rsid w:val="00D06ED4"/>
    <w:rsid w:val="00D10D4C"/>
    <w:rsid w:val="00D1290E"/>
    <w:rsid w:val="00D13F7F"/>
    <w:rsid w:val="00D251CD"/>
    <w:rsid w:val="00D26FFD"/>
    <w:rsid w:val="00D30CF9"/>
    <w:rsid w:val="00D32378"/>
    <w:rsid w:val="00D3446C"/>
    <w:rsid w:val="00D35198"/>
    <w:rsid w:val="00D368A0"/>
    <w:rsid w:val="00D404F0"/>
    <w:rsid w:val="00D428E9"/>
    <w:rsid w:val="00D448ED"/>
    <w:rsid w:val="00D4561B"/>
    <w:rsid w:val="00D45CD0"/>
    <w:rsid w:val="00D52213"/>
    <w:rsid w:val="00D55A27"/>
    <w:rsid w:val="00D57DD8"/>
    <w:rsid w:val="00D62730"/>
    <w:rsid w:val="00D6726B"/>
    <w:rsid w:val="00D70026"/>
    <w:rsid w:val="00D725F6"/>
    <w:rsid w:val="00D72D32"/>
    <w:rsid w:val="00D75A67"/>
    <w:rsid w:val="00D821B3"/>
    <w:rsid w:val="00D840CE"/>
    <w:rsid w:val="00D87A4B"/>
    <w:rsid w:val="00D955CB"/>
    <w:rsid w:val="00DA138C"/>
    <w:rsid w:val="00DA17E8"/>
    <w:rsid w:val="00DB0010"/>
    <w:rsid w:val="00DB29C0"/>
    <w:rsid w:val="00DB3224"/>
    <w:rsid w:val="00DB4129"/>
    <w:rsid w:val="00DB429B"/>
    <w:rsid w:val="00DC1F6E"/>
    <w:rsid w:val="00DC440C"/>
    <w:rsid w:val="00DC7B67"/>
    <w:rsid w:val="00DD151F"/>
    <w:rsid w:val="00DD3683"/>
    <w:rsid w:val="00DD3BBF"/>
    <w:rsid w:val="00DD58C0"/>
    <w:rsid w:val="00DE15B5"/>
    <w:rsid w:val="00DE4EFB"/>
    <w:rsid w:val="00DE5009"/>
    <w:rsid w:val="00DF3B93"/>
    <w:rsid w:val="00DF78BC"/>
    <w:rsid w:val="00E1186A"/>
    <w:rsid w:val="00E13FDD"/>
    <w:rsid w:val="00E25F53"/>
    <w:rsid w:val="00E336CB"/>
    <w:rsid w:val="00E33A6A"/>
    <w:rsid w:val="00E352E7"/>
    <w:rsid w:val="00E41C0B"/>
    <w:rsid w:val="00E435EC"/>
    <w:rsid w:val="00E46054"/>
    <w:rsid w:val="00E46B0D"/>
    <w:rsid w:val="00E52AC2"/>
    <w:rsid w:val="00E53259"/>
    <w:rsid w:val="00E5384E"/>
    <w:rsid w:val="00E60F57"/>
    <w:rsid w:val="00E6729F"/>
    <w:rsid w:val="00E678E6"/>
    <w:rsid w:val="00E70097"/>
    <w:rsid w:val="00E773FC"/>
    <w:rsid w:val="00E82724"/>
    <w:rsid w:val="00E9097B"/>
    <w:rsid w:val="00E91E8C"/>
    <w:rsid w:val="00E93062"/>
    <w:rsid w:val="00E97BCA"/>
    <w:rsid w:val="00EA0147"/>
    <w:rsid w:val="00EA10A7"/>
    <w:rsid w:val="00EA4708"/>
    <w:rsid w:val="00EA588E"/>
    <w:rsid w:val="00EA681F"/>
    <w:rsid w:val="00EB133A"/>
    <w:rsid w:val="00EB2E77"/>
    <w:rsid w:val="00EB32B3"/>
    <w:rsid w:val="00EB4DC4"/>
    <w:rsid w:val="00EC4FA5"/>
    <w:rsid w:val="00EC67CD"/>
    <w:rsid w:val="00ED3DE5"/>
    <w:rsid w:val="00ED4420"/>
    <w:rsid w:val="00EF368A"/>
    <w:rsid w:val="00EF3810"/>
    <w:rsid w:val="00EF6FC1"/>
    <w:rsid w:val="00F00B7B"/>
    <w:rsid w:val="00F039E8"/>
    <w:rsid w:val="00F12FE4"/>
    <w:rsid w:val="00F14590"/>
    <w:rsid w:val="00F240EC"/>
    <w:rsid w:val="00F24A4E"/>
    <w:rsid w:val="00F26904"/>
    <w:rsid w:val="00F301B3"/>
    <w:rsid w:val="00F33857"/>
    <w:rsid w:val="00F33B6D"/>
    <w:rsid w:val="00F34B68"/>
    <w:rsid w:val="00F438AC"/>
    <w:rsid w:val="00F43EF7"/>
    <w:rsid w:val="00F450AC"/>
    <w:rsid w:val="00F47114"/>
    <w:rsid w:val="00F5029F"/>
    <w:rsid w:val="00F5215E"/>
    <w:rsid w:val="00F55DC7"/>
    <w:rsid w:val="00F57310"/>
    <w:rsid w:val="00F57B07"/>
    <w:rsid w:val="00F57BBC"/>
    <w:rsid w:val="00F66DA0"/>
    <w:rsid w:val="00F74044"/>
    <w:rsid w:val="00F80B54"/>
    <w:rsid w:val="00F93022"/>
    <w:rsid w:val="00F93A97"/>
    <w:rsid w:val="00F95294"/>
    <w:rsid w:val="00F96B2E"/>
    <w:rsid w:val="00FA40A8"/>
    <w:rsid w:val="00FA4F62"/>
    <w:rsid w:val="00FA6056"/>
    <w:rsid w:val="00FB0D42"/>
    <w:rsid w:val="00FB3F5C"/>
    <w:rsid w:val="00FC207F"/>
    <w:rsid w:val="00FC36D6"/>
    <w:rsid w:val="00FC3942"/>
    <w:rsid w:val="00FC55CB"/>
    <w:rsid w:val="00FC6CE0"/>
    <w:rsid w:val="00FD2E24"/>
    <w:rsid w:val="00FE6AD4"/>
    <w:rsid w:val="00FF0795"/>
    <w:rsid w:val="00FF218A"/>
    <w:rsid w:val="00FF3E2C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8B"/>
    <w:rPr>
      <w:sz w:val="24"/>
    </w:rPr>
  </w:style>
  <w:style w:type="paragraph" w:styleId="1">
    <w:name w:val="heading 1"/>
    <w:basedOn w:val="a"/>
    <w:next w:val="a"/>
    <w:qFormat/>
    <w:rsid w:val="00CE678B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CE678B"/>
    <w:pPr>
      <w:keepNext/>
      <w:jc w:val="center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rsid w:val="00CE678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E678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678B"/>
    <w:pPr>
      <w:keepNext/>
      <w:ind w:firstLine="709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E678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E678B"/>
    <w:pPr>
      <w:keepNext/>
      <w:ind w:firstLine="709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E678B"/>
    <w:pPr>
      <w:keepNext/>
      <w:ind w:firstLine="709"/>
      <w:jc w:val="both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rsid w:val="00CE678B"/>
    <w:pPr>
      <w:keepNext/>
      <w:ind w:left="709"/>
      <w:jc w:val="both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E678B"/>
    <w:pPr>
      <w:ind w:left="1134" w:hanging="1134"/>
    </w:pPr>
  </w:style>
  <w:style w:type="paragraph" w:styleId="a4">
    <w:name w:val="Body Text"/>
    <w:basedOn w:val="a"/>
    <w:link w:val="a5"/>
    <w:semiHidden/>
    <w:rsid w:val="00CE678B"/>
    <w:pPr>
      <w:jc w:val="center"/>
    </w:pPr>
    <w:rPr>
      <w:b/>
      <w:bCs/>
    </w:rPr>
  </w:style>
  <w:style w:type="paragraph" w:styleId="20">
    <w:name w:val="Body Text Indent 2"/>
    <w:basedOn w:val="a"/>
    <w:link w:val="21"/>
    <w:semiHidden/>
    <w:rsid w:val="00CE678B"/>
    <w:pPr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CE678B"/>
    <w:pPr>
      <w:ind w:firstLine="709"/>
      <w:jc w:val="center"/>
    </w:pPr>
    <w:rPr>
      <w:sz w:val="28"/>
    </w:rPr>
  </w:style>
  <w:style w:type="paragraph" w:styleId="a6">
    <w:name w:val="header"/>
    <w:basedOn w:val="a"/>
    <w:semiHidden/>
    <w:rsid w:val="00CE678B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CE678B"/>
  </w:style>
  <w:style w:type="paragraph" w:styleId="a8">
    <w:name w:val="footnote text"/>
    <w:basedOn w:val="a"/>
    <w:link w:val="a9"/>
    <w:semiHidden/>
    <w:unhideWhenUsed/>
    <w:rsid w:val="00C37499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C37499"/>
  </w:style>
  <w:style w:type="paragraph" w:customStyle="1" w:styleId="ConsPlusNormal">
    <w:name w:val="ConsPlusNormal"/>
    <w:rsid w:val="00C3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footnote reference"/>
    <w:basedOn w:val="a0"/>
    <w:semiHidden/>
    <w:unhideWhenUsed/>
    <w:rsid w:val="00C37499"/>
    <w:rPr>
      <w:vertAlign w:val="superscript"/>
    </w:rPr>
  </w:style>
  <w:style w:type="table" w:styleId="ab">
    <w:name w:val="Table Grid"/>
    <w:basedOn w:val="a1"/>
    <w:uiPriority w:val="59"/>
    <w:rsid w:val="00892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Колонтитул_"/>
    <w:basedOn w:val="a0"/>
    <w:link w:val="ad"/>
    <w:uiPriority w:val="99"/>
    <w:rsid w:val="00233F54"/>
    <w:rPr>
      <w:noProof/>
      <w:shd w:val="clear" w:color="auto" w:fill="FFFFFF"/>
    </w:rPr>
  </w:style>
  <w:style w:type="character" w:customStyle="1" w:styleId="81">
    <w:name w:val="Колонтитул + 8"/>
    <w:aliases w:val="5 pt,Полужирный"/>
    <w:basedOn w:val="ac"/>
    <w:uiPriority w:val="99"/>
    <w:rsid w:val="00233F54"/>
    <w:rPr>
      <w:b/>
      <w:bCs/>
      <w:noProof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233F54"/>
    <w:rPr>
      <w:rFonts w:ascii="Times New Roman" w:hAnsi="Times New Roman" w:cs="Times New Roman"/>
      <w:spacing w:val="30"/>
      <w:sz w:val="27"/>
      <w:szCs w:val="27"/>
      <w:lang w:val="en-US" w:eastAsia="en-US"/>
    </w:rPr>
  </w:style>
  <w:style w:type="character" w:customStyle="1" w:styleId="16">
    <w:name w:val="Основной текст + 16"/>
    <w:aliases w:val="5 pt1,Курсив"/>
    <w:basedOn w:val="a0"/>
    <w:uiPriority w:val="99"/>
    <w:rsid w:val="00233F54"/>
    <w:rPr>
      <w:rFonts w:ascii="Times New Roman" w:hAnsi="Times New Roman" w:cs="Times New Roman"/>
      <w:i/>
      <w:iCs/>
      <w:noProof/>
      <w:spacing w:val="0"/>
      <w:sz w:val="33"/>
      <w:szCs w:val="33"/>
    </w:rPr>
  </w:style>
  <w:style w:type="character" w:customStyle="1" w:styleId="13pt">
    <w:name w:val="Основной текст + 13 pt"/>
    <w:basedOn w:val="a0"/>
    <w:uiPriority w:val="99"/>
    <w:rsid w:val="00233F54"/>
    <w:rPr>
      <w:rFonts w:ascii="Times New Roman" w:hAnsi="Times New Roman" w:cs="Times New Roman"/>
      <w:spacing w:val="0"/>
      <w:sz w:val="26"/>
      <w:szCs w:val="26"/>
    </w:rPr>
  </w:style>
  <w:style w:type="character" w:customStyle="1" w:styleId="22">
    <w:name w:val="Основной текст (2)_"/>
    <w:basedOn w:val="a0"/>
    <w:link w:val="210"/>
    <w:uiPriority w:val="99"/>
    <w:rsid w:val="00233F54"/>
    <w:rPr>
      <w:sz w:val="27"/>
      <w:szCs w:val="27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233F54"/>
    <w:rPr>
      <w:sz w:val="27"/>
      <w:szCs w:val="27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233F54"/>
    <w:pPr>
      <w:shd w:val="clear" w:color="auto" w:fill="FFFFFF"/>
    </w:pPr>
    <w:rPr>
      <w:noProof/>
      <w:sz w:val="20"/>
    </w:rPr>
  </w:style>
  <w:style w:type="paragraph" w:customStyle="1" w:styleId="210">
    <w:name w:val="Основной текст (2)1"/>
    <w:basedOn w:val="a"/>
    <w:link w:val="22"/>
    <w:uiPriority w:val="99"/>
    <w:rsid w:val="00233F54"/>
    <w:pPr>
      <w:shd w:val="clear" w:color="auto" w:fill="FFFFFF"/>
      <w:spacing w:line="288" w:lineRule="exact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7E2B"/>
    <w:rPr>
      <w:b/>
      <w:bCs/>
      <w:sz w:val="24"/>
    </w:rPr>
  </w:style>
  <w:style w:type="paragraph" w:styleId="ae">
    <w:name w:val="List Paragraph"/>
    <w:basedOn w:val="a"/>
    <w:uiPriority w:val="34"/>
    <w:qFormat/>
    <w:rsid w:val="003A32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05330D"/>
    <w:rPr>
      <w:sz w:val="28"/>
      <w:u w:val="single"/>
    </w:rPr>
  </w:style>
  <w:style w:type="character" w:customStyle="1" w:styleId="70">
    <w:name w:val="Заголовок 7 Знак"/>
    <w:basedOn w:val="a0"/>
    <w:link w:val="7"/>
    <w:rsid w:val="00FC6CE0"/>
    <w:rPr>
      <w:b/>
      <w:bCs/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EC67CD"/>
    <w:rPr>
      <w:sz w:val="28"/>
    </w:rPr>
  </w:style>
  <w:style w:type="paragraph" w:styleId="af">
    <w:name w:val="Normal (Web)"/>
    <w:basedOn w:val="a"/>
    <w:uiPriority w:val="99"/>
    <w:semiHidden/>
    <w:unhideWhenUsed/>
    <w:rsid w:val="009B0C4B"/>
    <w:pPr>
      <w:spacing w:before="100" w:beforeAutospacing="1" w:after="100" w:afterAutospacing="1"/>
    </w:pPr>
    <w:rPr>
      <w:szCs w:val="24"/>
    </w:rPr>
  </w:style>
  <w:style w:type="character" w:styleId="af0">
    <w:name w:val="Strong"/>
    <w:basedOn w:val="a0"/>
    <w:uiPriority w:val="22"/>
    <w:qFormat/>
    <w:rsid w:val="009B0C4B"/>
    <w:rPr>
      <w:b/>
      <w:bCs/>
    </w:rPr>
  </w:style>
  <w:style w:type="character" w:styleId="af1">
    <w:name w:val="Hyperlink"/>
    <w:basedOn w:val="a0"/>
    <w:uiPriority w:val="99"/>
    <w:unhideWhenUsed/>
    <w:rsid w:val="009B0C4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A06A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06A9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8B"/>
    <w:rPr>
      <w:sz w:val="24"/>
    </w:rPr>
  </w:style>
  <w:style w:type="paragraph" w:styleId="1">
    <w:name w:val="heading 1"/>
    <w:basedOn w:val="a"/>
    <w:next w:val="a"/>
    <w:qFormat/>
    <w:rsid w:val="00CE678B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CE678B"/>
    <w:pPr>
      <w:keepNext/>
      <w:jc w:val="center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rsid w:val="00CE678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E678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678B"/>
    <w:pPr>
      <w:keepNext/>
      <w:ind w:firstLine="709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E678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E678B"/>
    <w:pPr>
      <w:keepNext/>
      <w:ind w:firstLine="709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E678B"/>
    <w:pPr>
      <w:keepNext/>
      <w:ind w:firstLine="709"/>
      <w:jc w:val="both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rsid w:val="00CE678B"/>
    <w:pPr>
      <w:keepNext/>
      <w:ind w:left="709"/>
      <w:jc w:val="both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E678B"/>
    <w:pPr>
      <w:ind w:left="1134" w:hanging="1134"/>
    </w:pPr>
  </w:style>
  <w:style w:type="paragraph" w:styleId="a4">
    <w:name w:val="Body Text"/>
    <w:basedOn w:val="a"/>
    <w:link w:val="a5"/>
    <w:semiHidden/>
    <w:rsid w:val="00CE678B"/>
    <w:pPr>
      <w:jc w:val="center"/>
    </w:pPr>
    <w:rPr>
      <w:b/>
      <w:bCs/>
    </w:rPr>
  </w:style>
  <w:style w:type="paragraph" w:styleId="20">
    <w:name w:val="Body Text Indent 2"/>
    <w:basedOn w:val="a"/>
    <w:link w:val="21"/>
    <w:semiHidden/>
    <w:rsid w:val="00CE678B"/>
    <w:pPr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CE678B"/>
    <w:pPr>
      <w:ind w:firstLine="709"/>
      <w:jc w:val="center"/>
    </w:pPr>
    <w:rPr>
      <w:sz w:val="28"/>
    </w:rPr>
  </w:style>
  <w:style w:type="paragraph" w:styleId="a6">
    <w:name w:val="header"/>
    <w:basedOn w:val="a"/>
    <w:semiHidden/>
    <w:rsid w:val="00CE678B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CE678B"/>
  </w:style>
  <w:style w:type="paragraph" w:styleId="a8">
    <w:name w:val="footnote text"/>
    <w:basedOn w:val="a"/>
    <w:link w:val="a9"/>
    <w:semiHidden/>
    <w:unhideWhenUsed/>
    <w:rsid w:val="00C37499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C37499"/>
  </w:style>
  <w:style w:type="paragraph" w:customStyle="1" w:styleId="ConsPlusNormal">
    <w:name w:val="ConsPlusNormal"/>
    <w:rsid w:val="00C3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footnote reference"/>
    <w:basedOn w:val="a0"/>
    <w:semiHidden/>
    <w:unhideWhenUsed/>
    <w:rsid w:val="00C37499"/>
    <w:rPr>
      <w:vertAlign w:val="superscript"/>
    </w:rPr>
  </w:style>
  <w:style w:type="table" w:styleId="ab">
    <w:name w:val="Table Grid"/>
    <w:basedOn w:val="a1"/>
    <w:uiPriority w:val="59"/>
    <w:rsid w:val="00892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Колонтитул_"/>
    <w:basedOn w:val="a0"/>
    <w:link w:val="ad"/>
    <w:uiPriority w:val="99"/>
    <w:rsid w:val="00233F54"/>
    <w:rPr>
      <w:noProof/>
      <w:shd w:val="clear" w:color="auto" w:fill="FFFFFF"/>
    </w:rPr>
  </w:style>
  <w:style w:type="character" w:customStyle="1" w:styleId="81">
    <w:name w:val="Колонтитул + 8"/>
    <w:aliases w:val="5 pt,Полужирный"/>
    <w:basedOn w:val="ac"/>
    <w:uiPriority w:val="99"/>
    <w:rsid w:val="00233F54"/>
    <w:rPr>
      <w:b/>
      <w:bCs/>
      <w:noProof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233F54"/>
    <w:rPr>
      <w:rFonts w:ascii="Times New Roman" w:hAnsi="Times New Roman" w:cs="Times New Roman"/>
      <w:spacing w:val="30"/>
      <w:sz w:val="27"/>
      <w:szCs w:val="27"/>
      <w:lang w:val="en-US" w:eastAsia="en-US"/>
    </w:rPr>
  </w:style>
  <w:style w:type="character" w:customStyle="1" w:styleId="16">
    <w:name w:val="Основной текст + 16"/>
    <w:aliases w:val="5 pt1,Курсив"/>
    <w:basedOn w:val="a0"/>
    <w:uiPriority w:val="99"/>
    <w:rsid w:val="00233F54"/>
    <w:rPr>
      <w:rFonts w:ascii="Times New Roman" w:hAnsi="Times New Roman" w:cs="Times New Roman"/>
      <w:i/>
      <w:iCs/>
      <w:noProof/>
      <w:spacing w:val="0"/>
      <w:sz w:val="33"/>
      <w:szCs w:val="33"/>
    </w:rPr>
  </w:style>
  <w:style w:type="character" w:customStyle="1" w:styleId="13pt">
    <w:name w:val="Основной текст + 13 pt"/>
    <w:basedOn w:val="a0"/>
    <w:uiPriority w:val="99"/>
    <w:rsid w:val="00233F54"/>
    <w:rPr>
      <w:rFonts w:ascii="Times New Roman" w:hAnsi="Times New Roman" w:cs="Times New Roman"/>
      <w:spacing w:val="0"/>
      <w:sz w:val="26"/>
      <w:szCs w:val="26"/>
    </w:rPr>
  </w:style>
  <w:style w:type="character" w:customStyle="1" w:styleId="22">
    <w:name w:val="Основной текст (2)_"/>
    <w:basedOn w:val="a0"/>
    <w:link w:val="210"/>
    <w:uiPriority w:val="99"/>
    <w:rsid w:val="00233F54"/>
    <w:rPr>
      <w:sz w:val="27"/>
      <w:szCs w:val="27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233F54"/>
    <w:rPr>
      <w:sz w:val="27"/>
      <w:szCs w:val="27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233F54"/>
    <w:pPr>
      <w:shd w:val="clear" w:color="auto" w:fill="FFFFFF"/>
    </w:pPr>
    <w:rPr>
      <w:noProof/>
      <w:sz w:val="20"/>
    </w:rPr>
  </w:style>
  <w:style w:type="paragraph" w:customStyle="1" w:styleId="210">
    <w:name w:val="Основной текст (2)1"/>
    <w:basedOn w:val="a"/>
    <w:link w:val="22"/>
    <w:uiPriority w:val="99"/>
    <w:rsid w:val="00233F54"/>
    <w:pPr>
      <w:shd w:val="clear" w:color="auto" w:fill="FFFFFF"/>
      <w:spacing w:line="288" w:lineRule="exact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7E2B"/>
    <w:rPr>
      <w:b/>
      <w:bCs/>
      <w:sz w:val="24"/>
    </w:rPr>
  </w:style>
  <w:style w:type="paragraph" w:styleId="ae">
    <w:name w:val="List Paragraph"/>
    <w:basedOn w:val="a"/>
    <w:uiPriority w:val="34"/>
    <w:qFormat/>
    <w:rsid w:val="003A32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05330D"/>
    <w:rPr>
      <w:sz w:val="28"/>
      <w:u w:val="single"/>
    </w:rPr>
  </w:style>
  <w:style w:type="character" w:customStyle="1" w:styleId="70">
    <w:name w:val="Заголовок 7 Знак"/>
    <w:basedOn w:val="a0"/>
    <w:link w:val="7"/>
    <w:rsid w:val="00FC6CE0"/>
    <w:rPr>
      <w:b/>
      <w:bCs/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EC67CD"/>
    <w:rPr>
      <w:sz w:val="28"/>
    </w:rPr>
  </w:style>
  <w:style w:type="paragraph" w:styleId="af">
    <w:name w:val="Normal (Web)"/>
    <w:basedOn w:val="a"/>
    <w:uiPriority w:val="99"/>
    <w:semiHidden/>
    <w:unhideWhenUsed/>
    <w:rsid w:val="009B0C4B"/>
    <w:pPr>
      <w:spacing w:before="100" w:beforeAutospacing="1" w:after="100" w:afterAutospacing="1"/>
    </w:pPr>
    <w:rPr>
      <w:szCs w:val="24"/>
    </w:rPr>
  </w:style>
  <w:style w:type="character" w:styleId="af0">
    <w:name w:val="Strong"/>
    <w:basedOn w:val="a0"/>
    <w:uiPriority w:val="22"/>
    <w:qFormat/>
    <w:rsid w:val="009B0C4B"/>
    <w:rPr>
      <w:b/>
      <w:bCs/>
    </w:rPr>
  </w:style>
  <w:style w:type="character" w:styleId="af1">
    <w:name w:val="Hyperlink"/>
    <w:basedOn w:val="a0"/>
    <w:uiPriority w:val="99"/>
    <w:unhideWhenUsed/>
    <w:rsid w:val="009B0C4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A06A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06A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232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19B3-37CC-415B-B328-1D9F433C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РЫНКОВ,ПРЕДСТАВЛЕННЫХ В РЕГИОНАЛЬНОМ РАЗДЕЛЕ РЕЕСТРА</vt:lpstr>
    </vt:vector>
  </TitlesOfParts>
  <Company/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РЫНКОВ,ПРЕДСТАВЛЕННЫХ В РЕГИОНАЛЬНОМ РАЗДЕЛЕ РЕЕСТРА</dc:title>
  <dc:creator>Калинин</dc:creator>
  <cp:lastModifiedBy>user</cp:lastModifiedBy>
  <cp:revision>3</cp:revision>
  <cp:lastPrinted>2019-07-31T10:18:00Z</cp:lastPrinted>
  <dcterms:created xsi:type="dcterms:W3CDTF">2020-08-24T07:25:00Z</dcterms:created>
  <dcterms:modified xsi:type="dcterms:W3CDTF">2020-08-25T11:48:00Z</dcterms:modified>
</cp:coreProperties>
</file>