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8B" w:rsidRPr="00F42488" w:rsidRDefault="00493A8B" w:rsidP="00493A8B">
      <w:pPr>
        <w:spacing w:line="276" w:lineRule="auto"/>
        <w:jc w:val="center"/>
        <w:rPr>
          <w:b/>
          <w:sz w:val="32"/>
          <w:szCs w:val="28"/>
        </w:rPr>
      </w:pPr>
      <w:r w:rsidRPr="00F42488">
        <w:rPr>
          <w:b/>
          <w:sz w:val="32"/>
          <w:szCs w:val="28"/>
        </w:rPr>
        <w:t>ДОКЛАД</w:t>
      </w:r>
    </w:p>
    <w:p w:rsidR="00493A8B" w:rsidRPr="00F42488" w:rsidRDefault="00493A8B" w:rsidP="00493A8B">
      <w:pPr>
        <w:spacing w:line="276" w:lineRule="auto"/>
        <w:jc w:val="center"/>
        <w:rPr>
          <w:b/>
          <w:sz w:val="32"/>
          <w:szCs w:val="28"/>
        </w:rPr>
      </w:pPr>
      <w:r w:rsidRPr="00F42488">
        <w:rPr>
          <w:b/>
          <w:sz w:val="32"/>
          <w:szCs w:val="28"/>
        </w:rPr>
        <w:t>ПО ВОПРОСУ ПРАВОПРИМЕНИТЕЛЬНОЙ ПРАКТИКИ</w:t>
      </w:r>
    </w:p>
    <w:p w:rsidR="00493A8B" w:rsidRPr="00F42488" w:rsidRDefault="00493A8B" w:rsidP="00493A8B">
      <w:pPr>
        <w:spacing w:line="276" w:lineRule="auto"/>
        <w:jc w:val="center"/>
        <w:rPr>
          <w:b/>
          <w:sz w:val="32"/>
          <w:szCs w:val="28"/>
        </w:rPr>
      </w:pPr>
      <w:r w:rsidRPr="00F42488">
        <w:rPr>
          <w:b/>
          <w:sz w:val="32"/>
          <w:szCs w:val="28"/>
        </w:rPr>
        <w:t>УЛЬЯНОВСКОГО УФАС РОССИИ</w:t>
      </w:r>
    </w:p>
    <w:p w:rsidR="00493A8B" w:rsidRPr="00F42488" w:rsidRDefault="00493A8B" w:rsidP="00493A8B">
      <w:pPr>
        <w:spacing w:line="276" w:lineRule="auto"/>
        <w:jc w:val="center"/>
        <w:rPr>
          <w:b/>
          <w:sz w:val="32"/>
          <w:szCs w:val="28"/>
        </w:rPr>
      </w:pPr>
      <w:r w:rsidRPr="00F42488">
        <w:rPr>
          <w:b/>
          <w:sz w:val="32"/>
          <w:szCs w:val="28"/>
        </w:rPr>
        <w:t>(</w:t>
      </w:r>
      <w:r>
        <w:rPr>
          <w:b/>
          <w:sz w:val="32"/>
          <w:szCs w:val="28"/>
        </w:rPr>
        <w:t>2019</w:t>
      </w:r>
      <w:r w:rsidR="00E700D6">
        <w:rPr>
          <w:b/>
          <w:sz w:val="32"/>
          <w:szCs w:val="28"/>
        </w:rPr>
        <w:t xml:space="preserve"> год</w:t>
      </w:r>
      <w:r w:rsidRPr="00F42488">
        <w:rPr>
          <w:b/>
          <w:sz w:val="32"/>
          <w:szCs w:val="28"/>
        </w:rPr>
        <w:t>)</w:t>
      </w:r>
    </w:p>
    <w:p w:rsidR="00493A8B" w:rsidRDefault="00493A8B" w:rsidP="00B437D2">
      <w:pPr>
        <w:spacing w:line="276" w:lineRule="auto"/>
        <w:ind w:firstLine="851"/>
        <w:jc w:val="both"/>
        <w:rPr>
          <w:b/>
          <w:sz w:val="32"/>
          <w:szCs w:val="28"/>
          <w:u w:val="single"/>
        </w:rPr>
      </w:pPr>
    </w:p>
    <w:p w:rsidR="00B437D2" w:rsidRPr="00F42488" w:rsidRDefault="00B437D2" w:rsidP="00B437D2">
      <w:pPr>
        <w:spacing w:line="276" w:lineRule="auto"/>
        <w:ind w:firstLine="851"/>
        <w:jc w:val="both"/>
        <w:rPr>
          <w:b/>
          <w:sz w:val="32"/>
          <w:szCs w:val="28"/>
          <w:u w:val="single"/>
        </w:rPr>
      </w:pPr>
      <w:r w:rsidRPr="00F42488">
        <w:rPr>
          <w:b/>
          <w:sz w:val="32"/>
          <w:szCs w:val="28"/>
          <w:u w:val="single"/>
        </w:rPr>
        <w:t xml:space="preserve">Раздел 1. Контроль за соблюдением антимонопольного законодательства </w:t>
      </w:r>
    </w:p>
    <w:p w:rsidR="00B437D2" w:rsidRPr="00D96B93" w:rsidRDefault="00B437D2" w:rsidP="00B437D2">
      <w:pPr>
        <w:spacing w:line="276" w:lineRule="auto"/>
        <w:ind w:firstLine="851"/>
        <w:jc w:val="both"/>
        <w:rPr>
          <w:b/>
          <w:szCs w:val="28"/>
          <w:u w:val="single"/>
        </w:rPr>
      </w:pPr>
    </w:p>
    <w:p w:rsidR="00C453FC" w:rsidRDefault="00C453FC" w:rsidP="00E942AC">
      <w:pPr>
        <w:pStyle w:val="2"/>
        <w:widowControl w:val="0"/>
        <w:tabs>
          <w:tab w:val="clear" w:pos="643"/>
          <w:tab w:val="num" w:pos="0"/>
        </w:tabs>
        <w:spacing w:line="276" w:lineRule="auto"/>
        <w:ind w:left="0" w:firstLine="0"/>
        <w:jc w:val="center"/>
      </w:pPr>
      <w:r w:rsidRPr="00C453FC">
        <w:rPr>
          <w:lang w:val="en-US"/>
        </w:rPr>
        <w:t>I</w:t>
      </w:r>
      <w:r w:rsidRPr="00C453FC">
        <w:t>. Практика выявления и пресечения нарушений Закона о защите конкуренции</w:t>
      </w:r>
    </w:p>
    <w:p w:rsidR="006C469D" w:rsidRPr="006C469D" w:rsidRDefault="006C469D" w:rsidP="00E942AC">
      <w:pPr>
        <w:jc w:val="center"/>
      </w:pPr>
    </w:p>
    <w:p w:rsidR="0040162A" w:rsidRDefault="0040162A" w:rsidP="00E942AC">
      <w:pPr>
        <w:tabs>
          <w:tab w:val="num" w:pos="0"/>
        </w:tabs>
        <w:spacing w:line="276" w:lineRule="auto"/>
        <w:jc w:val="center"/>
        <w:rPr>
          <w:b/>
          <w:szCs w:val="28"/>
        </w:rPr>
      </w:pPr>
      <w:r w:rsidRPr="0040162A">
        <w:rPr>
          <w:b/>
          <w:szCs w:val="28"/>
        </w:rPr>
        <w:t>1. О нарушениях антимонопольного законодательства хозяйствующими субъектами</w:t>
      </w:r>
    </w:p>
    <w:p w:rsidR="006C469D" w:rsidRPr="0040162A" w:rsidRDefault="006C469D" w:rsidP="00E942AC">
      <w:pPr>
        <w:tabs>
          <w:tab w:val="num" w:pos="0"/>
        </w:tabs>
        <w:spacing w:line="276" w:lineRule="auto"/>
        <w:jc w:val="center"/>
        <w:rPr>
          <w:b/>
          <w:szCs w:val="28"/>
        </w:rPr>
      </w:pPr>
    </w:p>
    <w:p w:rsidR="0040162A" w:rsidRPr="0040162A" w:rsidRDefault="0040162A" w:rsidP="006C469D">
      <w:pPr>
        <w:spacing w:line="276" w:lineRule="auto"/>
        <w:ind w:firstLine="709"/>
        <w:jc w:val="both"/>
        <w:rPr>
          <w:szCs w:val="28"/>
        </w:rPr>
      </w:pPr>
      <w:r w:rsidRPr="0040162A">
        <w:rPr>
          <w:szCs w:val="28"/>
        </w:rPr>
        <w:t xml:space="preserve">В 2019 году рассмотрено </w:t>
      </w:r>
      <w:r w:rsidRPr="006C469D">
        <w:rPr>
          <w:b/>
          <w:szCs w:val="28"/>
        </w:rPr>
        <w:t>120 заявлений</w:t>
      </w:r>
      <w:r w:rsidRPr="0040162A">
        <w:rPr>
          <w:szCs w:val="28"/>
        </w:rPr>
        <w:t xml:space="preserve"> по статьям 10-11 Закона «О защите конкуренции. По итогам рассмотрения выдано </w:t>
      </w:r>
      <w:r w:rsidRPr="006C469D">
        <w:rPr>
          <w:b/>
          <w:szCs w:val="28"/>
        </w:rPr>
        <w:t>11 предупреждений</w:t>
      </w:r>
      <w:r w:rsidRPr="0040162A">
        <w:rPr>
          <w:szCs w:val="28"/>
        </w:rPr>
        <w:t xml:space="preserve">, все исполнены. Кроме того, до выдачи предупреждения лицами, в отношении которых поступило заявление, устранено </w:t>
      </w:r>
      <w:r w:rsidRPr="006C469D">
        <w:rPr>
          <w:b/>
          <w:szCs w:val="28"/>
        </w:rPr>
        <w:t>4 нарушения</w:t>
      </w:r>
      <w:r w:rsidRPr="0040162A">
        <w:rPr>
          <w:szCs w:val="28"/>
        </w:rPr>
        <w:t>.</w:t>
      </w:r>
    </w:p>
    <w:p w:rsidR="0040162A" w:rsidRPr="0040162A" w:rsidRDefault="0040162A" w:rsidP="006C469D">
      <w:pPr>
        <w:spacing w:line="276" w:lineRule="auto"/>
        <w:ind w:firstLine="709"/>
        <w:jc w:val="both"/>
        <w:rPr>
          <w:szCs w:val="28"/>
        </w:rPr>
      </w:pPr>
      <w:r w:rsidRPr="0040162A">
        <w:rPr>
          <w:szCs w:val="28"/>
        </w:rPr>
        <w:t xml:space="preserve">Общее количество выявленных нарушений – </w:t>
      </w:r>
      <w:r w:rsidRPr="006C469D">
        <w:rPr>
          <w:b/>
          <w:szCs w:val="28"/>
        </w:rPr>
        <w:t>18</w:t>
      </w:r>
      <w:r w:rsidRPr="0040162A">
        <w:rPr>
          <w:szCs w:val="28"/>
        </w:rPr>
        <w:t>.</w:t>
      </w:r>
    </w:p>
    <w:p w:rsidR="0040162A" w:rsidRPr="0040162A" w:rsidRDefault="0040162A" w:rsidP="006C469D">
      <w:pPr>
        <w:spacing w:line="276" w:lineRule="auto"/>
        <w:ind w:firstLine="709"/>
        <w:jc w:val="both"/>
        <w:rPr>
          <w:szCs w:val="28"/>
        </w:rPr>
      </w:pPr>
      <w:r w:rsidRPr="0040162A">
        <w:rPr>
          <w:szCs w:val="28"/>
        </w:rPr>
        <w:t>Наиболее характерным выявленным нарушением является дело в отношении ПАО «Т Плюс».</w:t>
      </w:r>
    </w:p>
    <w:p w:rsidR="0040162A" w:rsidRPr="0040162A" w:rsidRDefault="0040162A" w:rsidP="006C469D">
      <w:pPr>
        <w:spacing w:line="276" w:lineRule="auto"/>
        <w:ind w:firstLine="709"/>
        <w:jc w:val="both"/>
        <w:rPr>
          <w:szCs w:val="28"/>
        </w:rPr>
      </w:pPr>
      <w:r w:rsidRPr="0040162A">
        <w:rPr>
          <w:szCs w:val="28"/>
        </w:rPr>
        <w:t>В Ульяновское УФАС России поступили обращения управляющих компаний по вопросу выставления платы за тепловую энергию, потребленную в феврале 2019 года, без учета поправочного коэффициента на фактическую температуру холодной воды.</w:t>
      </w:r>
    </w:p>
    <w:p w:rsidR="0040162A" w:rsidRPr="0040162A" w:rsidRDefault="0040162A" w:rsidP="006C469D">
      <w:pPr>
        <w:spacing w:line="276" w:lineRule="auto"/>
        <w:ind w:firstLine="709"/>
        <w:jc w:val="both"/>
        <w:rPr>
          <w:szCs w:val="28"/>
        </w:rPr>
      </w:pPr>
      <w:r w:rsidRPr="0040162A">
        <w:rPr>
          <w:szCs w:val="28"/>
        </w:rPr>
        <w:t>По итогам рассмотрения обращений было возбуждено дело по признакам нарушения антимонопольного законодательства.</w:t>
      </w:r>
    </w:p>
    <w:p w:rsidR="0040162A" w:rsidRPr="0040162A" w:rsidRDefault="0040162A" w:rsidP="006C469D">
      <w:pPr>
        <w:spacing w:line="276" w:lineRule="auto"/>
        <w:ind w:firstLine="709"/>
        <w:jc w:val="both"/>
        <w:rPr>
          <w:szCs w:val="28"/>
        </w:rPr>
      </w:pPr>
      <w:r w:rsidRPr="0040162A">
        <w:rPr>
          <w:szCs w:val="28"/>
        </w:rPr>
        <w:t>В ходе рассмотрения дела Комиссией Ульяновского УФАС России было установлено, что действия ПАО «Т Плюс» по расчету и применению «положительной» поправки на фактическую температуру холодной воды в феврале – апреле 2019 года, повлекшие увеличение объемов выставленной тепловой энергии, не соответствуют установленному законодательству порядку определения объема тепловой энергии, потребленной в МКЖД (многоквартирном жилом доме).</w:t>
      </w:r>
    </w:p>
    <w:p w:rsidR="0040162A" w:rsidRPr="0040162A" w:rsidRDefault="0040162A" w:rsidP="006C469D">
      <w:pPr>
        <w:spacing w:line="276" w:lineRule="auto"/>
        <w:ind w:firstLine="709"/>
        <w:jc w:val="both"/>
        <w:rPr>
          <w:szCs w:val="28"/>
        </w:rPr>
      </w:pPr>
      <w:r w:rsidRPr="0040162A">
        <w:rPr>
          <w:szCs w:val="28"/>
        </w:rPr>
        <w:t xml:space="preserve">В соответствии с частью 1 статьи 157 Жилищного кодекса Российской Федерации размер платы за коммунальные услуги рассчитывается исходя из объема потребляемых коммунальных услуг, определяемого по показаниям </w:t>
      </w:r>
      <w:r w:rsidRPr="0040162A">
        <w:rPr>
          <w:szCs w:val="28"/>
        </w:rPr>
        <w:lastRenderedPageBreak/>
        <w:t>приборов учета, а при их отсутствии исходя из нормативов потребления коммунальных услуг, утверждаемых органами местного самоуправления в порядке, установленном Правительством Российской Федерации.</w:t>
      </w:r>
    </w:p>
    <w:p w:rsidR="0040162A" w:rsidRPr="0040162A" w:rsidRDefault="0040162A" w:rsidP="006C469D">
      <w:pPr>
        <w:spacing w:line="276" w:lineRule="auto"/>
        <w:ind w:firstLine="709"/>
        <w:jc w:val="both"/>
        <w:rPr>
          <w:szCs w:val="28"/>
        </w:rPr>
      </w:pPr>
      <w:r w:rsidRPr="0040162A">
        <w:rPr>
          <w:szCs w:val="28"/>
        </w:rPr>
        <w:t>Согласно пункту 13 Правил 354 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0162A" w:rsidRPr="0040162A" w:rsidRDefault="0040162A" w:rsidP="006C469D">
      <w:pPr>
        <w:spacing w:line="276" w:lineRule="auto"/>
        <w:ind w:firstLine="709"/>
        <w:jc w:val="both"/>
        <w:rPr>
          <w:szCs w:val="28"/>
        </w:rPr>
      </w:pPr>
      <w:r w:rsidRPr="0040162A">
        <w:rPr>
          <w:szCs w:val="28"/>
        </w:rPr>
        <w:t>Соответственно, выставляемые к оплате объемы тепловой энергии должны определяться на основании показаний приборов учета, а не расчетным путем.</w:t>
      </w:r>
    </w:p>
    <w:p w:rsidR="0040162A" w:rsidRPr="0040162A" w:rsidRDefault="0040162A" w:rsidP="006C469D">
      <w:pPr>
        <w:spacing w:line="276" w:lineRule="auto"/>
        <w:ind w:firstLine="709"/>
        <w:jc w:val="both"/>
        <w:rPr>
          <w:szCs w:val="28"/>
        </w:rPr>
      </w:pPr>
      <w:r w:rsidRPr="0040162A">
        <w:rPr>
          <w:szCs w:val="28"/>
        </w:rPr>
        <w:t xml:space="preserve">Ульяновское УФАС России признало действия ПАО «Т Плюс» нарушением ч. 1 ст. 10 Федерального закона «О защите конкуренции», что выразилось в злоупотреблении правом на получение платы за поставленные ресурсы путем выставления платы за тепловую энергию, потребленную в МКЖД, находящихся в управлении заявителей путем выставления к оплате объемов тепловой энергии, определенных не только на основании показаний приборов учета, но и дополнительно объемов тепловой энергии, определенных расчетным путем. </w:t>
      </w:r>
    </w:p>
    <w:p w:rsidR="0040162A" w:rsidRDefault="0040162A" w:rsidP="006C469D">
      <w:pPr>
        <w:spacing w:line="276" w:lineRule="auto"/>
        <w:ind w:firstLine="709"/>
        <w:jc w:val="both"/>
        <w:rPr>
          <w:szCs w:val="28"/>
        </w:rPr>
      </w:pPr>
      <w:r w:rsidRPr="0040162A">
        <w:rPr>
          <w:szCs w:val="28"/>
        </w:rPr>
        <w:t>На устранение данного нарушения ПАО «Т Плюс» выдано предписание, которое исполнено. Произведен перерасчет потребителям услуги.</w:t>
      </w:r>
    </w:p>
    <w:p w:rsidR="009A086B" w:rsidRPr="0040162A" w:rsidRDefault="009A086B" w:rsidP="006C469D">
      <w:pPr>
        <w:spacing w:line="276" w:lineRule="auto"/>
        <w:ind w:firstLine="709"/>
        <w:jc w:val="both"/>
        <w:rPr>
          <w:szCs w:val="28"/>
        </w:rPr>
      </w:pPr>
    </w:p>
    <w:p w:rsidR="0040162A" w:rsidRPr="0040162A" w:rsidRDefault="0040162A" w:rsidP="006C469D">
      <w:pPr>
        <w:spacing w:line="276" w:lineRule="auto"/>
        <w:ind w:firstLine="709"/>
        <w:jc w:val="both"/>
        <w:rPr>
          <w:szCs w:val="28"/>
        </w:rPr>
      </w:pPr>
      <w:r w:rsidRPr="0040162A">
        <w:rPr>
          <w:szCs w:val="28"/>
        </w:rPr>
        <w:t>По результатам рассмотрения заявления ТСН «Победа» установлено, что между УФ ОАО «Волжская ТГК» (ПАО «Т Плюс») и ТСН «Победа» заключен договор теплоснабжения и поставки горячей воды.</w:t>
      </w:r>
    </w:p>
    <w:p w:rsidR="0040162A" w:rsidRPr="0040162A" w:rsidRDefault="0040162A" w:rsidP="006C469D">
      <w:pPr>
        <w:spacing w:line="276" w:lineRule="auto"/>
        <w:ind w:firstLine="709"/>
        <w:jc w:val="both"/>
        <w:rPr>
          <w:szCs w:val="28"/>
        </w:rPr>
      </w:pPr>
      <w:r w:rsidRPr="0040162A">
        <w:rPr>
          <w:szCs w:val="28"/>
        </w:rPr>
        <w:t>Исполнение части функций в сфере теплоснабжения и горячего водоснабжения ПАО «Т Плюс» передало ОАО «ЭнергосбыТ Плюс» на основании агентского договора.</w:t>
      </w:r>
    </w:p>
    <w:p w:rsidR="0040162A" w:rsidRPr="0040162A" w:rsidRDefault="0040162A" w:rsidP="006C469D">
      <w:pPr>
        <w:spacing w:line="276" w:lineRule="auto"/>
        <w:ind w:firstLine="709"/>
        <w:jc w:val="both"/>
        <w:rPr>
          <w:szCs w:val="28"/>
        </w:rPr>
      </w:pPr>
      <w:r w:rsidRPr="0040162A">
        <w:rPr>
          <w:szCs w:val="28"/>
        </w:rPr>
        <w:t xml:space="preserve">В письме УФ АО «ЭнергосбыТ Плюс» в адрес руководителей организаций «О подготовке к отопительному зимнему период 2019-2020 годов» указано на необходимость обеспечения постоянного доступа к системе дистанционного снятия показаний приборов учёта (АИИС КУТЭ), в случае установки на узле учета такого оборудования (п.10 Правил коммерческого учета тепловой энергии, теплоносителя). При отсутствии оборудования АИИС КУТЭ предоставить доступ представителям теплоснабжающей организации для установки такого оборудования и </w:t>
      </w:r>
      <w:r w:rsidRPr="0040162A">
        <w:rPr>
          <w:szCs w:val="28"/>
        </w:rPr>
        <w:lastRenderedPageBreak/>
        <w:t>обеспечить дальнейшую его сохранность (п.9 Правил коммерческого учета тепловой энергии, теплоносителя). В связи с неисполнением данны</w:t>
      </w:r>
      <w:r w:rsidR="009A086B">
        <w:rPr>
          <w:szCs w:val="28"/>
        </w:rPr>
        <w:t xml:space="preserve">х пунктов договора ПАО «Т Плюс» </w:t>
      </w:r>
      <w:r w:rsidRPr="0040162A">
        <w:rPr>
          <w:szCs w:val="28"/>
        </w:rPr>
        <w:t>отказало в подписании акта готовности теплопотребляющих установок и тепловых сетей к приему тепла, указав, что для подписания акта готовности клиенту необходимо подтвердить готовность предоставить доступ к узлу учета тепловой энергии жилого дома для установки устройства сбора-передачи данных.</w:t>
      </w:r>
    </w:p>
    <w:p w:rsidR="0040162A" w:rsidRPr="0040162A" w:rsidRDefault="0040162A" w:rsidP="006C469D">
      <w:pPr>
        <w:spacing w:line="276" w:lineRule="auto"/>
        <w:ind w:firstLine="709"/>
        <w:jc w:val="both"/>
        <w:rPr>
          <w:szCs w:val="28"/>
        </w:rPr>
      </w:pPr>
      <w:r w:rsidRPr="0040162A">
        <w:rPr>
          <w:szCs w:val="28"/>
        </w:rPr>
        <w:t>В ходе рассмотрения заявления АО «</w:t>
      </w:r>
      <w:r w:rsidR="009A086B">
        <w:rPr>
          <w:szCs w:val="28"/>
        </w:rPr>
        <w:t xml:space="preserve">ЭнергосбыТ Плюс» пояснило, что </w:t>
      </w:r>
      <w:r w:rsidRPr="0040162A">
        <w:rPr>
          <w:szCs w:val="28"/>
        </w:rPr>
        <w:t xml:space="preserve">в подписании Акта готовности теплопотребляющих установок и тепловых сетей к приему тепла ТСН «Победа» письмом не отказывало, в доказательство представив Акт проверки готовности к отопительному периоду от 15.08.2019, оформленный в соответствии с Приказом Минэнерго России «Об утверждении Правил оценки готовности к отопительному периоду».  </w:t>
      </w:r>
    </w:p>
    <w:p w:rsidR="0040162A" w:rsidRDefault="0040162A" w:rsidP="006C469D">
      <w:pPr>
        <w:spacing w:line="276" w:lineRule="auto"/>
        <w:ind w:firstLine="709"/>
        <w:jc w:val="both"/>
        <w:rPr>
          <w:szCs w:val="28"/>
        </w:rPr>
      </w:pPr>
      <w:r w:rsidRPr="0040162A">
        <w:rPr>
          <w:szCs w:val="28"/>
        </w:rPr>
        <w:t>Однако также было установлено, что председатель ТСН «Победа» не был ознакомлен с Актом проверки готовности от 15.08.2019.</w:t>
      </w:r>
    </w:p>
    <w:p w:rsidR="009A086B" w:rsidRPr="0040162A" w:rsidRDefault="009A086B" w:rsidP="006C469D">
      <w:pPr>
        <w:spacing w:line="276" w:lineRule="auto"/>
        <w:ind w:firstLine="709"/>
        <w:jc w:val="both"/>
        <w:rPr>
          <w:szCs w:val="28"/>
        </w:rPr>
      </w:pPr>
    </w:p>
    <w:p w:rsidR="0040162A" w:rsidRPr="0040162A" w:rsidRDefault="0040162A" w:rsidP="006C469D">
      <w:pPr>
        <w:spacing w:line="276" w:lineRule="auto"/>
        <w:ind w:firstLine="709"/>
        <w:jc w:val="both"/>
        <w:rPr>
          <w:szCs w:val="28"/>
        </w:rPr>
      </w:pPr>
      <w:r w:rsidRPr="0040162A">
        <w:rPr>
          <w:szCs w:val="28"/>
        </w:rPr>
        <w:t xml:space="preserve">Согласно Правилам оценки готовности к отопительному периоду, утвержденных приказом Минэнерго России от 12.03.2019 №103, в целях оценки готовности потребителей тепловой энергии к отопительному периоду уполномоченным органом не проверяются условия договоров о допуске к дистанционному обеспечению постоянного доступа к системе дистанционного снятия показаний приборов учёта (АИИС КУТЭ), в случае установки на узле учета такого оборудования. </w:t>
      </w:r>
    </w:p>
    <w:p w:rsidR="0040162A" w:rsidRPr="0040162A" w:rsidRDefault="0040162A" w:rsidP="006C469D">
      <w:pPr>
        <w:spacing w:line="276" w:lineRule="auto"/>
        <w:ind w:firstLine="709"/>
        <w:jc w:val="both"/>
        <w:rPr>
          <w:szCs w:val="28"/>
        </w:rPr>
      </w:pPr>
      <w:r w:rsidRPr="0040162A">
        <w:rPr>
          <w:szCs w:val="28"/>
        </w:rPr>
        <w:t>Исходя из вышеизложенного, подтверждение готовности предоставления доступа к узлу, учета тепловой энергии и теплоносителя для установки устройства сбора-передачи данных, не является обязательным условием для потребителя тепловой энергии, при подписании акта проверки готовности к отопительному периоду.</w:t>
      </w:r>
    </w:p>
    <w:p w:rsidR="0040162A" w:rsidRPr="0040162A" w:rsidRDefault="0040162A" w:rsidP="006C469D">
      <w:pPr>
        <w:spacing w:line="276" w:lineRule="auto"/>
        <w:ind w:firstLine="709"/>
        <w:jc w:val="both"/>
        <w:rPr>
          <w:szCs w:val="28"/>
        </w:rPr>
      </w:pPr>
      <w:r w:rsidRPr="0040162A">
        <w:rPr>
          <w:szCs w:val="28"/>
        </w:rPr>
        <w:t>Исходя из вышеизложенного, в действиях ПАО «Т Плюс» содержатся признаки нарушения п.3 ч.1 ст. 10 Федерального закона от 26.07.2006 N 135-ФЗ «О защите конкуренции», выразившиеся в навязывании ТСН «Победа» невыгодных условий договора, заключенных в необходимости предоставления доступа к узлу, учета тепловой энергии и теплоносителя для установки устройства сбора-передачи данных, при подписании Акта проверки готовности к отопительному периоду 2019/2020.</w:t>
      </w:r>
    </w:p>
    <w:p w:rsidR="0040162A" w:rsidRDefault="0040162A" w:rsidP="006C469D">
      <w:pPr>
        <w:spacing w:line="276" w:lineRule="auto"/>
        <w:ind w:firstLine="709"/>
        <w:jc w:val="both"/>
        <w:rPr>
          <w:szCs w:val="28"/>
        </w:rPr>
      </w:pPr>
      <w:r w:rsidRPr="0040162A">
        <w:rPr>
          <w:szCs w:val="28"/>
        </w:rPr>
        <w:lastRenderedPageBreak/>
        <w:t>На основании изложенного в соответствии со статьей 39.1. Федерального закона от 26.07.2006 №135-ФЗ «О защите конкуренции» Ульяновское УФАС России выдало ПАО «Т Плюс» предупреждение о необходимости прекращения указанных действий (бездействия) путем отзыва письма от 20.08.2019, направленного в адрес председателя ТСН «Победа», а также направление Акта проверки готовности к отопительному периоду в адрес ТСН «Победа».</w:t>
      </w:r>
    </w:p>
    <w:p w:rsidR="009A086B" w:rsidRPr="0040162A" w:rsidRDefault="009A086B" w:rsidP="006C469D">
      <w:pPr>
        <w:spacing w:line="276" w:lineRule="auto"/>
        <w:ind w:firstLine="709"/>
        <w:jc w:val="both"/>
        <w:rPr>
          <w:szCs w:val="28"/>
        </w:rPr>
      </w:pPr>
    </w:p>
    <w:p w:rsidR="0040162A" w:rsidRDefault="0040162A" w:rsidP="006C469D">
      <w:pPr>
        <w:spacing w:line="276" w:lineRule="auto"/>
        <w:ind w:firstLine="709"/>
        <w:jc w:val="both"/>
        <w:rPr>
          <w:b/>
          <w:szCs w:val="28"/>
        </w:rPr>
      </w:pPr>
      <w:r w:rsidRPr="0040162A">
        <w:rPr>
          <w:b/>
          <w:szCs w:val="28"/>
        </w:rPr>
        <w:t>2.</w:t>
      </w:r>
      <w:r w:rsidR="009A086B">
        <w:rPr>
          <w:b/>
          <w:szCs w:val="28"/>
        </w:rPr>
        <w:t xml:space="preserve"> </w:t>
      </w:r>
      <w:r w:rsidRPr="0040162A">
        <w:rPr>
          <w:b/>
          <w:szCs w:val="28"/>
        </w:rPr>
        <w:t>О нарушениях антимонопольного законодательства со стороны органов государственной власти и местного самоуправления Ульяновской области.</w:t>
      </w:r>
    </w:p>
    <w:p w:rsidR="009A086B" w:rsidRPr="0040162A" w:rsidRDefault="009A086B" w:rsidP="006C469D">
      <w:pPr>
        <w:spacing w:line="276" w:lineRule="auto"/>
        <w:ind w:firstLine="709"/>
        <w:jc w:val="both"/>
        <w:rPr>
          <w:b/>
          <w:szCs w:val="28"/>
        </w:rPr>
      </w:pPr>
    </w:p>
    <w:p w:rsidR="0040162A" w:rsidRPr="0040162A" w:rsidRDefault="0040162A" w:rsidP="009A086B">
      <w:pPr>
        <w:spacing w:line="276" w:lineRule="auto"/>
        <w:ind w:firstLine="709"/>
        <w:jc w:val="both"/>
        <w:rPr>
          <w:szCs w:val="28"/>
        </w:rPr>
      </w:pPr>
      <w:r w:rsidRPr="0040162A">
        <w:rPr>
          <w:szCs w:val="28"/>
        </w:rPr>
        <w:t>Согласно подпункту</w:t>
      </w:r>
      <w:r w:rsidR="009A086B">
        <w:rPr>
          <w:szCs w:val="28"/>
        </w:rPr>
        <w:t xml:space="preserve"> </w:t>
      </w:r>
      <w:r w:rsidRPr="0040162A">
        <w:rPr>
          <w:szCs w:val="28"/>
        </w:rPr>
        <w:t xml:space="preserve">б) пункта 1 Национального плана развития конкуренции в Российской Федерации на 2018 </w:t>
      </w:r>
      <w:r w:rsidR="009A086B">
        <w:rPr>
          <w:szCs w:val="28"/>
        </w:rPr>
        <w:t xml:space="preserve">– </w:t>
      </w:r>
      <w:r w:rsidRPr="0040162A">
        <w:rPr>
          <w:szCs w:val="28"/>
        </w:rPr>
        <w:t>2020 годы мероприятия настоящего Национального плана направлены, в том числе на достижение такого ключевого показателя как: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40162A" w:rsidRPr="0040162A" w:rsidRDefault="0040162A" w:rsidP="006C469D">
      <w:pPr>
        <w:spacing w:line="276" w:lineRule="auto"/>
        <w:ind w:firstLine="709"/>
        <w:jc w:val="both"/>
        <w:rPr>
          <w:szCs w:val="28"/>
        </w:rPr>
      </w:pPr>
      <w:r w:rsidRPr="0040162A">
        <w:rPr>
          <w:szCs w:val="28"/>
        </w:rPr>
        <w:t xml:space="preserve">В 2017 году </w:t>
      </w:r>
      <w:r w:rsidRPr="009A086B">
        <w:rPr>
          <w:b/>
          <w:szCs w:val="28"/>
        </w:rPr>
        <w:t>выявлено 47 нарушений</w:t>
      </w:r>
      <w:r w:rsidRPr="0040162A">
        <w:rPr>
          <w:szCs w:val="28"/>
        </w:rPr>
        <w:t xml:space="preserve"> Федерального закона от 26.07.2006 №135-ФЗ «О защите конкуренции» в действиях данных лиц.</w:t>
      </w:r>
    </w:p>
    <w:p w:rsidR="0040162A" w:rsidRDefault="0040162A" w:rsidP="006C469D">
      <w:pPr>
        <w:spacing w:line="276" w:lineRule="auto"/>
        <w:ind w:firstLine="709"/>
        <w:jc w:val="both"/>
        <w:rPr>
          <w:szCs w:val="28"/>
        </w:rPr>
      </w:pPr>
      <w:r w:rsidRPr="0040162A">
        <w:rPr>
          <w:szCs w:val="28"/>
        </w:rPr>
        <w:t xml:space="preserve">За 2019 год Ульяновским УФАС России по статьям 15 – 19 выявлено </w:t>
      </w:r>
      <w:r w:rsidRPr="009A086B">
        <w:rPr>
          <w:b/>
          <w:szCs w:val="28"/>
        </w:rPr>
        <w:t>46 нарушений</w:t>
      </w:r>
      <w:r w:rsidRPr="0040162A">
        <w:rPr>
          <w:szCs w:val="28"/>
        </w:rPr>
        <w:t xml:space="preserve">, выдано </w:t>
      </w:r>
      <w:r w:rsidRPr="009A086B">
        <w:rPr>
          <w:b/>
          <w:szCs w:val="28"/>
        </w:rPr>
        <w:t>41 предупреждение</w:t>
      </w:r>
      <w:r w:rsidRPr="0040162A">
        <w:rPr>
          <w:szCs w:val="28"/>
        </w:rPr>
        <w:t xml:space="preserve">, 37 из которых исполнено. В связи с неисполнением 3 предупреждений </w:t>
      </w:r>
      <w:r w:rsidRPr="009A086B">
        <w:rPr>
          <w:b/>
          <w:szCs w:val="28"/>
        </w:rPr>
        <w:t>возбуждено 3 дела</w:t>
      </w:r>
      <w:r w:rsidRPr="0040162A">
        <w:rPr>
          <w:szCs w:val="28"/>
        </w:rPr>
        <w:t xml:space="preserve"> о нарушении антимонопольного законодательства по статье 15.</w:t>
      </w:r>
    </w:p>
    <w:p w:rsidR="009A086B" w:rsidRPr="0040162A" w:rsidRDefault="009A086B" w:rsidP="006C469D">
      <w:pPr>
        <w:spacing w:line="276" w:lineRule="auto"/>
        <w:ind w:firstLine="709"/>
        <w:jc w:val="both"/>
        <w:rPr>
          <w:szCs w:val="28"/>
        </w:rPr>
      </w:pPr>
    </w:p>
    <w:p w:rsidR="0040162A" w:rsidRPr="00626E90" w:rsidRDefault="0040162A" w:rsidP="006C469D">
      <w:pPr>
        <w:spacing w:line="276" w:lineRule="auto"/>
        <w:ind w:firstLine="709"/>
        <w:jc w:val="both"/>
        <w:rPr>
          <w:b/>
          <w:szCs w:val="28"/>
        </w:rPr>
      </w:pPr>
      <w:r w:rsidRPr="00626E90">
        <w:rPr>
          <w:b/>
          <w:szCs w:val="28"/>
        </w:rPr>
        <w:t xml:space="preserve">Динамика заявлений, поступивших в 2019 </w:t>
      </w:r>
      <w:r w:rsidR="00626E90">
        <w:rPr>
          <w:b/>
          <w:szCs w:val="28"/>
        </w:rPr>
        <w:t>году, по сравнению с 2017 годом</w:t>
      </w:r>
    </w:p>
    <w:p w:rsidR="009A086B" w:rsidRPr="0040162A" w:rsidRDefault="009A086B" w:rsidP="006C469D">
      <w:pPr>
        <w:spacing w:line="276" w:lineRule="auto"/>
        <w:ind w:firstLine="709"/>
        <w:jc w:val="both"/>
        <w:rPr>
          <w:szCs w:val="28"/>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96"/>
        <w:gridCol w:w="1381"/>
        <w:gridCol w:w="911"/>
        <w:gridCol w:w="1147"/>
        <w:gridCol w:w="1165"/>
        <w:gridCol w:w="1147"/>
        <w:gridCol w:w="1307"/>
      </w:tblGrid>
      <w:tr w:rsidR="0040162A" w:rsidRPr="0040162A" w:rsidTr="00AF2CC6">
        <w:trPr>
          <w:trHeight w:val="300"/>
          <w:jc w:val="center"/>
        </w:trPr>
        <w:tc>
          <w:tcPr>
            <w:tcW w:w="2142" w:type="dxa"/>
            <w:vMerge w:val="restart"/>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Вид органа власти</w:t>
            </w:r>
            <w:r w:rsidR="00626E90">
              <w:rPr>
                <w:color w:val="000000"/>
                <w:szCs w:val="28"/>
              </w:rPr>
              <w:t>*</w:t>
            </w:r>
          </w:p>
        </w:tc>
        <w:tc>
          <w:tcPr>
            <w:tcW w:w="6369" w:type="dxa"/>
            <w:gridSpan w:val="6"/>
            <w:vAlign w:val="center"/>
          </w:tcPr>
          <w:p w:rsidR="0040162A" w:rsidRPr="0040162A" w:rsidRDefault="0040162A" w:rsidP="00AF2CC6">
            <w:pPr>
              <w:spacing w:line="276" w:lineRule="auto"/>
              <w:jc w:val="center"/>
              <w:rPr>
                <w:color w:val="000000"/>
                <w:szCs w:val="28"/>
              </w:rPr>
            </w:pPr>
            <w:r w:rsidRPr="0040162A">
              <w:rPr>
                <w:color w:val="000000"/>
                <w:szCs w:val="28"/>
              </w:rPr>
              <w:t>Заявления по статьи 15-17.1</w:t>
            </w:r>
          </w:p>
          <w:p w:rsidR="0040162A" w:rsidRPr="0040162A" w:rsidRDefault="0040162A" w:rsidP="00AF2CC6">
            <w:pPr>
              <w:spacing w:line="276" w:lineRule="auto"/>
              <w:jc w:val="center"/>
              <w:rPr>
                <w:color w:val="000000"/>
                <w:szCs w:val="28"/>
              </w:rPr>
            </w:pPr>
            <w:r w:rsidRPr="0040162A">
              <w:rPr>
                <w:color w:val="000000"/>
                <w:szCs w:val="28"/>
              </w:rPr>
              <w:t>Закона № 135-ФЗ</w:t>
            </w:r>
          </w:p>
        </w:tc>
        <w:tc>
          <w:tcPr>
            <w:tcW w:w="1285" w:type="dxa"/>
            <w:vMerge w:val="restart"/>
            <w:vAlign w:val="center"/>
          </w:tcPr>
          <w:p w:rsidR="0040162A" w:rsidRPr="0040162A" w:rsidRDefault="0040162A" w:rsidP="00AF2CC6">
            <w:pPr>
              <w:spacing w:line="276" w:lineRule="auto"/>
              <w:jc w:val="center"/>
              <w:rPr>
                <w:color w:val="000000"/>
                <w:szCs w:val="28"/>
              </w:rPr>
            </w:pPr>
            <w:r w:rsidRPr="0040162A">
              <w:rPr>
                <w:color w:val="000000"/>
                <w:szCs w:val="28"/>
              </w:rPr>
              <w:t>Темп прироста</w:t>
            </w:r>
          </w:p>
        </w:tc>
      </w:tr>
      <w:tr w:rsidR="0040162A" w:rsidRPr="0040162A" w:rsidTr="00AF2CC6">
        <w:trPr>
          <w:trHeight w:val="300"/>
          <w:jc w:val="center"/>
        </w:trPr>
        <w:tc>
          <w:tcPr>
            <w:tcW w:w="2142" w:type="dxa"/>
            <w:vMerge/>
            <w:shd w:val="clear" w:color="auto" w:fill="auto"/>
            <w:noWrap/>
            <w:vAlign w:val="center"/>
            <w:hideMark/>
          </w:tcPr>
          <w:p w:rsidR="0040162A" w:rsidRPr="0040162A" w:rsidRDefault="0040162A" w:rsidP="00AF2CC6">
            <w:pPr>
              <w:spacing w:line="276" w:lineRule="auto"/>
              <w:jc w:val="center"/>
              <w:rPr>
                <w:color w:val="000000"/>
                <w:szCs w:val="28"/>
              </w:rPr>
            </w:pPr>
          </w:p>
        </w:tc>
        <w:tc>
          <w:tcPr>
            <w:tcW w:w="1999" w:type="dxa"/>
            <w:gridSpan w:val="2"/>
            <w:vAlign w:val="center"/>
          </w:tcPr>
          <w:p w:rsidR="0040162A" w:rsidRPr="0040162A" w:rsidRDefault="0040162A" w:rsidP="00AF2CC6">
            <w:pPr>
              <w:spacing w:line="276" w:lineRule="auto"/>
              <w:jc w:val="center"/>
              <w:rPr>
                <w:color w:val="000000"/>
                <w:szCs w:val="28"/>
              </w:rPr>
            </w:pPr>
            <w:r w:rsidRPr="0040162A">
              <w:rPr>
                <w:color w:val="000000"/>
                <w:szCs w:val="28"/>
              </w:rPr>
              <w:t>2017</w:t>
            </w:r>
          </w:p>
        </w:tc>
        <w:tc>
          <w:tcPr>
            <w:tcW w:w="2058" w:type="dxa"/>
            <w:gridSpan w:val="2"/>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2018</w:t>
            </w:r>
          </w:p>
        </w:tc>
        <w:tc>
          <w:tcPr>
            <w:tcW w:w="2312" w:type="dxa"/>
            <w:gridSpan w:val="2"/>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2019</w:t>
            </w:r>
          </w:p>
        </w:tc>
        <w:tc>
          <w:tcPr>
            <w:tcW w:w="1285" w:type="dxa"/>
            <w:vMerge/>
            <w:vAlign w:val="center"/>
          </w:tcPr>
          <w:p w:rsidR="0040162A" w:rsidRPr="0040162A" w:rsidRDefault="0040162A" w:rsidP="00AF2CC6">
            <w:pPr>
              <w:spacing w:line="276" w:lineRule="auto"/>
              <w:jc w:val="center"/>
              <w:rPr>
                <w:color w:val="000000"/>
                <w:szCs w:val="28"/>
              </w:rPr>
            </w:pPr>
          </w:p>
        </w:tc>
      </w:tr>
      <w:tr w:rsidR="0040162A" w:rsidRPr="0040162A" w:rsidTr="00AF2CC6">
        <w:trPr>
          <w:trHeight w:val="300"/>
          <w:jc w:val="center"/>
        </w:trPr>
        <w:tc>
          <w:tcPr>
            <w:tcW w:w="2142" w:type="dxa"/>
            <w:vMerge/>
            <w:shd w:val="clear" w:color="auto" w:fill="auto"/>
            <w:noWrap/>
            <w:vAlign w:val="center"/>
            <w:hideMark/>
          </w:tcPr>
          <w:p w:rsidR="0040162A" w:rsidRPr="0040162A" w:rsidRDefault="0040162A" w:rsidP="00AF2CC6">
            <w:pPr>
              <w:spacing w:line="276" w:lineRule="auto"/>
              <w:jc w:val="center"/>
              <w:rPr>
                <w:color w:val="000000"/>
                <w:szCs w:val="28"/>
              </w:rPr>
            </w:pPr>
          </w:p>
        </w:tc>
        <w:tc>
          <w:tcPr>
            <w:tcW w:w="618" w:type="dxa"/>
            <w:vAlign w:val="center"/>
          </w:tcPr>
          <w:p w:rsidR="0040162A" w:rsidRPr="0040162A" w:rsidRDefault="0040162A" w:rsidP="00AF2CC6">
            <w:pPr>
              <w:spacing w:line="276" w:lineRule="auto"/>
              <w:jc w:val="center"/>
              <w:rPr>
                <w:color w:val="000000"/>
                <w:szCs w:val="28"/>
              </w:rPr>
            </w:pPr>
            <w:r w:rsidRPr="0040162A">
              <w:rPr>
                <w:color w:val="000000"/>
                <w:szCs w:val="28"/>
              </w:rPr>
              <w:t>50</w:t>
            </w:r>
          </w:p>
        </w:tc>
        <w:tc>
          <w:tcPr>
            <w:tcW w:w="1381"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100%</w:t>
            </w:r>
          </w:p>
        </w:tc>
        <w:tc>
          <w:tcPr>
            <w:tcW w:w="911"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36</w:t>
            </w:r>
          </w:p>
        </w:tc>
        <w:tc>
          <w:tcPr>
            <w:tcW w:w="1147" w:type="dxa"/>
            <w:vAlign w:val="center"/>
          </w:tcPr>
          <w:p w:rsidR="0040162A" w:rsidRPr="0040162A" w:rsidRDefault="0040162A" w:rsidP="00AF2CC6">
            <w:pPr>
              <w:spacing w:line="276" w:lineRule="auto"/>
              <w:jc w:val="center"/>
              <w:rPr>
                <w:color w:val="000000"/>
                <w:szCs w:val="28"/>
              </w:rPr>
            </w:pPr>
            <w:r w:rsidRPr="0040162A">
              <w:rPr>
                <w:color w:val="000000"/>
                <w:szCs w:val="28"/>
              </w:rPr>
              <w:t>100%</w:t>
            </w:r>
          </w:p>
        </w:tc>
        <w:tc>
          <w:tcPr>
            <w:tcW w:w="1165"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78</w:t>
            </w:r>
          </w:p>
        </w:tc>
        <w:tc>
          <w:tcPr>
            <w:tcW w:w="1147"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100%</w:t>
            </w:r>
          </w:p>
        </w:tc>
        <w:tc>
          <w:tcPr>
            <w:tcW w:w="1285" w:type="dxa"/>
            <w:vAlign w:val="center"/>
          </w:tcPr>
          <w:p w:rsidR="0040162A" w:rsidRPr="0040162A" w:rsidRDefault="0040162A" w:rsidP="00AF2CC6">
            <w:pPr>
              <w:spacing w:line="276" w:lineRule="auto"/>
              <w:jc w:val="center"/>
              <w:rPr>
                <w:color w:val="000000"/>
                <w:szCs w:val="28"/>
              </w:rPr>
            </w:pPr>
            <w:r w:rsidRPr="0040162A">
              <w:rPr>
                <w:color w:val="000000"/>
                <w:szCs w:val="28"/>
              </w:rPr>
              <w:t>в 1,56 раза</w:t>
            </w:r>
          </w:p>
        </w:tc>
      </w:tr>
      <w:tr w:rsidR="0040162A" w:rsidRPr="0040162A" w:rsidTr="00AF2CC6">
        <w:trPr>
          <w:trHeight w:val="300"/>
          <w:jc w:val="center"/>
        </w:trPr>
        <w:tc>
          <w:tcPr>
            <w:tcW w:w="2142" w:type="dxa"/>
            <w:shd w:val="clear" w:color="auto" w:fill="auto"/>
            <w:vAlign w:val="center"/>
            <w:hideMark/>
          </w:tcPr>
          <w:p w:rsidR="0040162A" w:rsidRPr="0040162A" w:rsidRDefault="0040162A" w:rsidP="00AF2CC6">
            <w:pPr>
              <w:spacing w:line="276" w:lineRule="auto"/>
              <w:jc w:val="center"/>
              <w:rPr>
                <w:color w:val="000000"/>
                <w:szCs w:val="28"/>
              </w:rPr>
            </w:pPr>
            <w:r w:rsidRPr="0040162A">
              <w:rPr>
                <w:color w:val="000000"/>
                <w:szCs w:val="28"/>
              </w:rPr>
              <w:t>ОМС</w:t>
            </w:r>
          </w:p>
        </w:tc>
        <w:tc>
          <w:tcPr>
            <w:tcW w:w="618" w:type="dxa"/>
            <w:vAlign w:val="center"/>
          </w:tcPr>
          <w:p w:rsidR="0040162A" w:rsidRPr="0040162A" w:rsidRDefault="0040162A" w:rsidP="00AF2CC6">
            <w:pPr>
              <w:spacing w:line="276" w:lineRule="auto"/>
              <w:jc w:val="center"/>
              <w:rPr>
                <w:color w:val="000000"/>
                <w:szCs w:val="28"/>
              </w:rPr>
            </w:pPr>
            <w:r w:rsidRPr="0040162A">
              <w:rPr>
                <w:color w:val="000000"/>
                <w:szCs w:val="28"/>
              </w:rPr>
              <w:t>19</w:t>
            </w:r>
          </w:p>
        </w:tc>
        <w:tc>
          <w:tcPr>
            <w:tcW w:w="1381"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38%</w:t>
            </w:r>
          </w:p>
        </w:tc>
        <w:tc>
          <w:tcPr>
            <w:tcW w:w="911"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22</w:t>
            </w:r>
          </w:p>
        </w:tc>
        <w:tc>
          <w:tcPr>
            <w:tcW w:w="1147" w:type="dxa"/>
            <w:vAlign w:val="center"/>
          </w:tcPr>
          <w:p w:rsidR="0040162A" w:rsidRPr="0040162A" w:rsidRDefault="0040162A" w:rsidP="00AF2CC6">
            <w:pPr>
              <w:spacing w:line="276" w:lineRule="auto"/>
              <w:jc w:val="center"/>
              <w:rPr>
                <w:color w:val="000000"/>
                <w:szCs w:val="28"/>
              </w:rPr>
            </w:pPr>
            <w:r w:rsidRPr="0040162A">
              <w:rPr>
                <w:color w:val="000000"/>
                <w:szCs w:val="28"/>
              </w:rPr>
              <w:t>61%</w:t>
            </w:r>
          </w:p>
        </w:tc>
        <w:tc>
          <w:tcPr>
            <w:tcW w:w="1165"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54</w:t>
            </w:r>
          </w:p>
        </w:tc>
        <w:tc>
          <w:tcPr>
            <w:tcW w:w="1147"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69,2%</w:t>
            </w:r>
          </w:p>
        </w:tc>
        <w:tc>
          <w:tcPr>
            <w:tcW w:w="1285" w:type="dxa"/>
            <w:vAlign w:val="center"/>
          </w:tcPr>
          <w:p w:rsidR="0040162A" w:rsidRPr="0040162A" w:rsidRDefault="0040162A" w:rsidP="00AF2CC6">
            <w:pPr>
              <w:spacing w:line="276" w:lineRule="auto"/>
              <w:jc w:val="center"/>
              <w:rPr>
                <w:color w:val="000000"/>
                <w:szCs w:val="28"/>
              </w:rPr>
            </w:pPr>
            <w:r w:rsidRPr="0040162A">
              <w:rPr>
                <w:color w:val="000000"/>
                <w:szCs w:val="28"/>
              </w:rPr>
              <w:t>в 2,8раза</w:t>
            </w:r>
          </w:p>
        </w:tc>
      </w:tr>
      <w:tr w:rsidR="0040162A" w:rsidRPr="0040162A" w:rsidTr="00AF2CC6">
        <w:trPr>
          <w:trHeight w:val="300"/>
          <w:jc w:val="center"/>
        </w:trPr>
        <w:tc>
          <w:tcPr>
            <w:tcW w:w="2142" w:type="dxa"/>
            <w:shd w:val="clear" w:color="auto" w:fill="auto"/>
            <w:vAlign w:val="center"/>
            <w:hideMark/>
          </w:tcPr>
          <w:p w:rsidR="0040162A" w:rsidRPr="0040162A" w:rsidRDefault="0040162A" w:rsidP="00AF2CC6">
            <w:pPr>
              <w:spacing w:line="276" w:lineRule="auto"/>
              <w:jc w:val="center"/>
              <w:rPr>
                <w:color w:val="000000"/>
                <w:szCs w:val="28"/>
              </w:rPr>
            </w:pPr>
            <w:r w:rsidRPr="0040162A">
              <w:rPr>
                <w:color w:val="000000"/>
                <w:szCs w:val="28"/>
              </w:rPr>
              <w:t>ФОИВ</w:t>
            </w:r>
          </w:p>
        </w:tc>
        <w:tc>
          <w:tcPr>
            <w:tcW w:w="618" w:type="dxa"/>
            <w:vAlign w:val="center"/>
          </w:tcPr>
          <w:p w:rsidR="0040162A" w:rsidRPr="0040162A" w:rsidRDefault="0040162A" w:rsidP="00AF2CC6">
            <w:pPr>
              <w:spacing w:line="276" w:lineRule="auto"/>
              <w:jc w:val="center"/>
              <w:rPr>
                <w:color w:val="000000"/>
                <w:szCs w:val="28"/>
              </w:rPr>
            </w:pPr>
            <w:r w:rsidRPr="0040162A">
              <w:rPr>
                <w:color w:val="000000"/>
                <w:szCs w:val="28"/>
              </w:rPr>
              <w:t>1</w:t>
            </w:r>
          </w:p>
        </w:tc>
        <w:tc>
          <w:tcPr>
            <w:tcW w:w="1381"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2%</w:t>
            </w:r>
          </w:p>
        </w:tc>
        <w:tc>
          <w:tcPr>
            <w:tcW w:w="911"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1</w:t>
            </w:r>
          </w:p>
        </w:tc>
        <w:tc>
          <w:tcPr>
            <w:tcW w:w="1147" w:type="dxa"/>
            <w:vAlign w:val="center"/>
          </w:tcPr>
          <w:p w:rsidR="0040162A" w:rsidRPr="0040162A" w:rsidRDefault="0040162A" w:rsidP="00AF2CC6">
            <w:pPr>
              <w:spacing w:line="276" w:lineRule="auto"/>
              <w:jc w:val="center"/>
              <w:rPr>
                <w:color w:val="000000"/>
                <w:szCs w:val="28"/>
              </w:rPr>
            </w:pPr>
            <w:r w:rsidRPr="0040162A">
              <w:rPr>
                <w:color w:val="000000"/>
                <w:szCs w:val="28"/>
              </w:rPr>
              <w:t>3%</w:t>
            </w:r>
          </w:p>
        </w:tc>
        <w:tc>
          <w:tcPr>
            <w:tcW w:w="1165"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5</w:t>
            </w:r>
          </w:p>
        </w:tc>
        <w:tc>
          <w:tcPr>
            <w:tcW w:w="1147"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6,4%</w:t>
            </w:r>
          </w:p>
        </w:tc>
        <w:tc>
          <w:tcPr>
            <w:tcW w:w="1285" w:type="dxa"/>
            <w:vAlign w:val="center"/>
          </w:tcPr>
          <w:p w:rsidR="0040162A" w:rsidRPr="0040162A" w:rsidRDefault="0040162A" w:rsidP="00AF2CC6">
            <w:pPr>
              <w:spacing w:line="276" w:lineRule="auto"/>
              <w:jc w:val="center"/>
              <w:rPr>
                <w:color w:val="000000"/>
                <w:szCs w:val="28"/>
              </w:rPr>
            </w:pPr>
            <w:r w:rsidRPr="0040162A">
              <w:rPr>
                <w:color w:val="000000"/>
                <w:szCs w:val="28"/>
              </w:rPr>
              <w:t>в 5 раз</w:t>
            </w:r>
          </w:p>
        </w:tc>
      </w:tr>
      <w:tr w:rsidR="0040162A" w:rsidRPr="0040162A" w:rsidTr="00AF2CC6">
        <w:trPr>
          <w:trHeight w:val="300"/>
          <w:jc w:val="center"/>
        </w:trPr>
        <w:tc>
          <w:tcPr>
            <w:tcW w:w="2142" w:type="dxa"/>
            <w:shd w:val="clear" w:color="auto" w:fill="auto"/>
            <w:vAlign w:val="center"/>
            <w:hideMark/>
          </w:tcPr>
          <w:p w:rsidR="0040162A" w:rsidRPr="0040162A" w:rsidRDefault="0040162A" w:rsidP="00AF2CC6">
            <w:pPr>
              <w:spacing w:line="276" w:lineRule="auto"/>
              <w:jc w:val="center"/>
              <w:rPr>
                <w:color w:val="000000"/>
                <w:szCs w:val="28"/>
              </w:rPr>
            </w:pPr>
            <w:r w:rsidRPr="0040162A">
              <w:rPr>
                <w:color w:val="000000"/>
                <w:szCs w:val="28"/>
              </w:rPr>
              <w:t>ОГВ субъекта</w:t>
            </w:r>
          </w:p>
        </w:tc>
        <w:tc>
          <w:tcPr>
            <w:tcW w:w="618" w:type="dxa"/>
            <w:vAlign w:val="center"/>
          </w:tcPr>
          <w:p w:rsidR="0040162A" w:rsidRPr="0040162A" w:rsidRDefault="0040162A" w:rsidP="00AF2CC6">
            <w:pPr>
              <w:spacing w:line="276" w:lineRule="auto"/>
              <w:jc w:val="center"/>
              <w:rPr>
                <w:color w:val="000000"/>
                <w:szCs w:val="28"/>
              </w:rPr>
            </w:pPr>
            <w:r w:rsidRPr="0040162A">
              <w:rPr>
                <w:color w:val="000000"/>
                <w:szCs w:val="28"/>
              </w:rPr>
              <w:t>30</w:t>
            </w:r>
          </w:p>
        </w:tc>
        <w:tc>
          <w:tcPr>
            <w:tcW w:w="1381"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60%</w:t>
            </w:r>
          </w:p>
        </w:tc>
        <w:tc>
          <w:tcPr>
            <w:tcW w:w="911"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13</w:t>
            </w:r>
          </w:p>
        </w:tc>
        <w:tc>
          <w:tcPr>
            <w:tcW w:w="1147" w:type="dxa"/>
            <w:vAlign w:val="center"/>
          </w:tcPr>
          <w:p w:rsidR="0040162A" w:rsidRPr="0040162A" w:rsidRDefault="0040162A" w:rsidP="00AF2CC6">
            <w:pPr>
              <w:spacing w:line="276" w:lineRule="auto"/>
              <w:jc w:val="center"/>
              <w:rPr>
                <w:color w:val="000000"/>
                <w:szCs w:val="28"/>
              </w:rPr>
            </w:pPr>
            <w:r w:rsidRPr="0040162A">
              <w:rPr>
                <w:color w:val="000000"/>
                <w:szCs w:val="28"/>
              </w:rPr>
              <w:t>36%</w:t>
            </w:r>
          </w:p>
        </w:tc>
        <w:tc>
          <w:tcPr>
            <w:tcW w:w="1165"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19</w:t>
            </w:r>
          </w:p>
        </w:tc>
        <w:tc>
          <w:tcPr>
            <w:tcW w:w="1147" w:type="dxa"/>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24,4%</w:t>
            </w:r>
          </w:p>
        </w:tc>
        <w:tc>
          <w:tcPr>
            <w:tcW w:w="1285" w:type="dxa"/>
            <w:vAlign w:val="center"/>
          </w:tcPr>
          <w:p w:rsidR="0040162A" w:rsidRPr="0040162A" w:rsidRDefault="0040162A" w:rsidP="00AF2CC6">
            <w:pPr>
              <w:spacing w:line="276" w:lineRule="auto"/>
              <w:jc w:val="center"/>
              <w:rPr>
                <w:color w:val="000000"/>
                <w:szCs w:val="28"/>
              </w:rPr>
            </w:pPr>
            <w:r w:rsidRPr="0040162A">
              <w:rPr>
                <w:color w:val="000000"/>
                <w:szCs w:val="28"/>
              </w:rPr>
              <w:t>-36%</w:t>
            </w:r>
          </w:p>
        </w:tc>
      </w:tr>
    </w:tbl>
    <w:p w:rsidR="0040162A" w:rsidRDefault="00626E90" w:rsidP="006C469D">
      <w:pPr>
        <w:spacing w:line="276" w:lineRule="auto"/>
        <w:ind w:firstLine="709"/>
        <w:jc w:val="both"/>
        <w:rPr>
          <w:szCs w:val="28"/>
        </w:rPr>
      </w:pPr>
      <w:r>
        <w:rPr>
          <w:szCs w:val="28"/>
        </w:rPr>
        <w:lastRenderedPageBreak/>
        <w:t>*, где ОМС – органы местного самоуправления;</w:t>
      </w:r>
    </w:p>
    <w:p w:rsidR="00ED3842" w:rsidRDefault="00ED3842" w:rsidP="006C469D">
      <w:pPr>
        <w:spacing w:line="276" w:lineRule="auto"/>
        <w:ind w:firstLine="709"/>
        <w:jc w:val="both"/>
        <w:rPr>
          <w:szCs w:val="28"/>
        </w:rPr>
      </w:pPr>
      <w:r>
        <w:rPr>
          <w:szCs w:val="28"/>
        </w:rPr>
        <w:t>ФОИВ – федеральные органы исполнительной власти;</w:t>
      </w:r>
    </w:p>
    <w:p w:rsidR="00ED3842" w:rsidRDefault="00ED3842" w:rsidP="006C469D">
      <w:pPr>
        <w:spacing w:line="276" w:lineRule="auto"/>
        <w:ind w:firstLine="709"/>
        <w:jc w:val="both"/>
        <w:rPr>
          <w:szCs w:val="28"/>
        </w:rPr>
      </w:pPr>
      <w:r>
        <w:rPr>
          <w:szCs w:val="28"/>
        </w:rPr>
        <w:t>ОГВ субъекта – органы государственной власти субъекта.</w:t>
      </w:r>
    </w:p>
    <w:p w:rsidR="00626E90" w:rsidRPr="0040162A" w:rsidRDefault="00ED3842" w:rsidP="006C469D">
      <w:pPr>
        <w:spacing w:line="276" w:lineRule="auto"/>
        <w:ind w:firstLine="709"/>
        <w:jc w:val="both"/>
        <w:rPr>
          <w:szCs w:val="28"/>
        </w:rPr>
      </w:pPr>
      <w:r>
        <w:rPr>
          <w:szCs w:val="28"/>
        </w:rPr>
        <w:t xml:space="preserve"> </w:t>
      </w:r>
    </w:p>
    <w:p w:rsidR="0040162A" w:rsidRPr="00626E90" w:rsidRDefault="0040162A" w:rsidP="00AF2CC6">
      <w:pPr>
        <w:spacing w:line="276" w:lineRule="auto"/>
        <w:ind w:firstLine="709"/>
        <w:jc w:val="both"/>
        <w:rPr>
          <w:b/>
          <w:szCs w:val="28"/>
        </w:rPr>
      </w:pPr>
      <w:r w:rsidRPr="00626E90">
        <w:rPr>
          <w:b/>
          <w:szCs w:val="28"/>
        </w:rPr>
        <w:t>Структура нар</w:t>
      </w:r>
      <w:r w:rsidR="00626E90" w:rsidRPr="00626E90">
        <w:rPr>
          <w:b/>
          <w:szCs w:val="28"/>
        </w:rPr>
        <w:t>ушений по уровню органа власти*</w:t>
      </w:r>
    </w:p>
    <w:p w:rsidR="00AF2CC6" w:rsidRPr="0040162A" w:rsidRDefault="00AF2CC6" w:rsidP="00AF2CC6">
      <w:pPr>
        <w:spacing w:line="276" w:lineRule="auto"/>
        <w:ind w:firstLine="709"/>
        <w:jc w:val="both"/>
        <w:rPr>
          <w:szCs w:val="28"/>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596"/>
        <w:gridCol w:w="1381"/>
        <w:gridCol w:w="911"/>
        <w:gridCol w:w="1147"/>
        <w:gridCol w:w="1165"/>
        <w:gridCol w:w="1147"/>
        <w:gridCol w:w="1307"/>
      </w:tblGrid>
      <w:tr w:rsidR="0040162A" w:rsidRPr="0040162A" w:rsidTr="00AF2CC6">
        <w:trPr>
          <w:trHeight w:val="300"/>
          <w:jc w:val="center"/>
        </w:trPr>
        <w:tc>
          <w:tcPr>
            <w:tcW w:w="2142" w:type="dxa"/>
            <w:vMerge w:val="restart"/>
            <w:shd w:val="clear" w:color="auto" w:fill="auto"/>
            <w:noWrap/>
            <w:vAlign w:val="center"/>
          </w:tcPr>
          <w:p w:rsidR="0040162A" w:rsidRPr="0040162A" w:rsidRDefault="00AF2CC6" w:rsidP="00AF2CC6">
            <w:pPr>
              <w:spacing w:line="276" w:lineRule="auto"/>
              <w:jc w:val="center"/>
              <w:rPr>
                <w:color w:val="000000"/>
                <w:szCs w:val="28"/>
              </w:rPr>
            </w:pPr>
            <w:r>
              <w:rPr>
                <w:color w:val="000000"/>
                <w:szCs w:val="28"/>
              </w:rPr>
              <w:t xml:space="preserve">Вид органа </w:t>
            </w:r>
            <w:r w:rsidR="0040162A" w:rsidRPr="0040162A">
              <w:rPr>
                <w:color w:val="000000"/>
                <w:szCs w:val="28"/>
              </w:rPr>
              <w:t>власти</w:t>
            </w:r>
          </w:p>
        </w:tc>
        <w:tc>
          <w:tcPr>
            <w:tcW w:w="6369" w:type="dxa"/>
            <w:gridSpan w:val="6"/>
            <w:vAlign w:val="center"/>
          </w:tcPr>
          <w:p w:rsidR="0040162A" w:rsidRPr="0040162A" w:rsidRDefault="0040162A" w:rsidP="00AF2CC6">
            <w:pPr>
              <w:spacing w:line="276" w:lineRule="auto"/>
              <w:jc w:val="center"/>
              <w:rPr>
                <w:color w:val="000000"/>
                <w:szCs w:val="28"/>
              </w:rPr>
            </w:pPr>
            <w:r w:rsidRPr="0040162A">
              <w:rPr>
                <w:color w:val="000000"/>
                <w:szCs w:val="28"/>
              </w:rPr>
              <w:t>Нарушения статьи 15-17.1 Закона № 135-ФЗ</w:t>
            </w:r>
          </w:p>
        </w:tc>
        <w:tc>
          <w:tcPr>
            <w:tcW w:w="1285" w:type="dxa"/>
            <w:vMerge w:val="restart"/>
            <w:vAlign w:val="center"/>
          </w:tcPr>
          <w:p w:rsidR="0040162A" w:rsidRPr="0040162A" w:rsidRDefault="0040162A" w:rsidP="00AF2CC6">
            <w:pPr>
              <w:spacing w:line="276" w:lineRule="auto"/>
              <w:jc w:val="center"/>
              <w:rPr>
                <w:color w:val="000000"/>
                <w:szCs w:val="28"/>
              </w:rPr>
            </w:pPr>
            <w:r w:rsidRPr="0040162A">
              <w:rPr>
                <w:color w:val="000000"/>
                <w:szCs w:val="28"/>
              </w:rPr>
              <w:t>Темп прироста</w:t>
            </w:r>
          </w:p>
        </w:tc>
      </w:tr>
      <w:tr w:rsidR="0040162A" w:rsidRPr="0040162A" w:rsidTr="00AF2CC6">
        <w:trPr>
          <w:trHeight w:val="300"/>
          <w:jc w:val="center"/>
        </w:trPr>
        <w:tc>
          <w:tcPr>
            <w:tcW w:w="2142" w:type="dxa"/>
            <w:vMerge/>
            <w:shd w:val="clear" w:color="auto" w:fill="auto"/>
            <w:noWrap/>
            <w:vAlign w:val="center"/>
            <w:hideMark/>
          </w:tcPr>
          <w:p w:rsidR="0040162A" w:rsidRPr="0040162A" w:rsidRDefault="0040162A" w:rsidP="00AF2CC6">
            <w:pPr>
              <w:spacing w:line="276" w:lineRule="auto"/>
              <w:jc w:val="center"/>
              <w:rPr>
                <w:color w:val="000000"/>
                <w:szCs w:val="28"/>
              </w:rPr>
            </w:pPr>
          </w:p>
        </w:tc>
        <w:tc>
          <w:tcPr>
            <w:tcW w:w="1999" w:type="dxa"/>
            <w:gridSpan w:val="2"/>
            <w:vAlign w:val="center"/>
          </w:tcPr>
          <w:p w:rsidR="0040162A" w:rsidRPr="0040162A" w:rsidRDefault="0040162A" w:rsidP="00AF2CC6">
            <w:pPr>
              <w:spacing w:line="276" w:lineRule="auto"/>
              <w:jc w:val="center"/>
              <w:rPr>
                <w:color w:val="000000"/>
                <w:szCs w:val="28"/>
              </w:rPr>
            </w:pPr>
            <w:r w:rsidRPr="0040162A">
              <w:rPr>
                <w:color w:val="000000"/>
                <w:szCs w:val="28"/>
              </w:rPr>
              <w:t>2017</w:t>
            </w:r>
          </w:p>
        </w:tc>
        <w:tc>
          <w:tcPr>
            <w:tcW w:w="2058" w:type="dxa"/>
            <w:gridSpan w:val="2"/>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2018</w:t>
            </w:r>
          </w:p>
        </w:tc>
        <w:tc>
          <w:tcPr>
            <w:tcW w:w="2312" w:type="dxa"/>
            <w:gridSpan w:val="2"/>
            <w:shd w:val="clear" w:color="auto" w:fill="auto"/>
            <w:noWrap/>
            <w:vAlign w:val="center"/>
          </w:tcPr>
          <w:p w:rsidR="0040162A" w:rsidRPr="0040162A" w:rsidRDefault="0040162A" w:rsidP="00AF2CC6">
            <w:pPr>
              <w:spacing w:line="276" w:lineRule="auto"/>
              <w:jc w:val="center"/>
              <w:rPr>
                <w:color w:val="000000"/>
                <w:szCs w:val="28"/>
              </w:rPr>
            </w:pPr>
            <w:r w:rsidRPr="0040162A">
              <w:rPr>
                <w:color w:val="000000"/>
                <w:szCs w:val="28"/>
              </w:rPr>
              <w:t>2019</w:t>
            </w:r>
          </w:p>
        </w:tc>
        <w:tc>
          <w:tcPr>
            <w:tcW w:w="1285" w:type="dxa"/>
            <w:vMerge/>
            <w:vAlign w:val="center"/>
          </w:tcPr>
          <w:p w:rsidR="0040162A" w:rsidRPr="0040162A" w:rsidRDefault="0040162A" w:rsidP="00AF2CC6">
            <w:pPr>
              <w:spacing w:line="276" w:lineRule="auto"/>
              <w:jc w:val="center"/>
              <w:rPr>
                <w:color w:val="000000"/>
                <w:szCs w:val="28"/>
              </w:rPr>
            </w:pPr>
          </w:p>
        </w:tc>
      </w:tr>
      <w:tr w:rsidR="0040162A" w:rsidRPr="0040162A" w:rsidTr="00AF2CC6">
        <w:trPr>
          <w:trHeight w:val="300"/>
          <w:jc w:val="center"/>
        </w:trPr>
        <w:tc>
          <w:tcPr>
            <w:tcW w:w="2142" w:type="dxa"/>
            <w:vMerge/>
            <w:shd w:val="clear" w:color="auto" w:fill="auto"/>
            <w:noWrap/>
            <w:vAlign w:val="center"/>
            <w:hideMark/>
          </w:tcPr>
          <w:p w:rsidR="0040162A" w:rsidRPr="0040162A" w:rsidRDefault="0040162A" w:rsidP="00AF2CC6">
            <w:pPr>
              <w:spacing w:line="276" w:lineRule="auto"/>
              <w:jc w:val="center"/>
              <w:rPr>
                <w:color w:val="000000"/>
                <w:szCs w:val="28"/>
              </w:rPr>
            </w:pPr>
          </w:p>
        </w:tc>
        <w:tc>
          <w:tcPr>
            <w:tcW w:w="618" w:type="dxa"/>
            <w:vAlign w:val="center"/>
          </w:tcPr>
          <w:p w:rsidR="0040162A" w:rsidRPr="0040162A" w:rsidRDefault="0040162A" w:rsidP="00AF2CC6">
            <w:pPr>
              <w:spacing w:line="276" w:lineRule="auto"/>
              <w:jc w:val="center"/>
              <w:rPr>
                <w:color w:val="000000"/>
                <w:szCs w:val="28"/>
              </w:rPr>
            </w:pPr>
            <w:r w:rsidRPr="0040162A">
              <w:rPr>
                <w:color w:val="000000"/>
                <w:szCs w:val="28"/>
              </w:rPr>
              <w:t>51</w:t>
            </w:r>
          </w:p>
        </w:tc>
        <w:tc>
          <w:tcPr>
            <w:tcW w:w="1381"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100%</w:t>
            </w:r>
          </w:p>
        </w:tc>
        <w:tc>
          <w:tcPr>
            <w:tcW w:w="911"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25</w:t>
            </w:r>
          </w:p>
        </w:tc>
        <w:tc>
          <w:tcPr>
            <w:tcW w:w="1147" w:type="dxa"/>
            <w:vAlign w:val="center"/>
          </w:tcPr>
          <w:p w:rsidR="0040162A" w:rsidRPr="0040162A" w:rsidRDefault="0040162A" w:rsidP="00AF2CC6">
            <w:pPr>
              <w:spacing w:line="276" w:lineRule="auto"/>
              <w:jc w:val="center"/>
              <w:rPr>
                <w:color w:val="000000"/>
                <w:szCs w:val="28"/>
              </w:rPr>
            </w:pPr>
            <w:r w:rsidRPr="0040162A">
              <w:rPr>
                <w:color w:val="000000"/>
                <w:szCs w:val="28"/>
              </w:rPr>
              <w:t>100%</w:t>
            </w:r>
          </w:p>
        </w:tc>
        <w:tc>
          <w:tcPr>
            <w:tcW w:w="1165"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47</w:t>
            </w:r>
          </w:p>
        </w:tc>
        <w:tc>
          <w:tcPr>
            <w:tcW w:w="1147"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100%</w:t>
            </w:r>
          </w:p>
        </w:tc>
        <w:tc>
          <w:tcPr>
            <w:tcW w:w="1285" w:type="dxa"/>
            <w:vAlign w:val="center"/>
          </w:tcPr>
          <w:p w:rsidR="0040162A" w:rsidRPr="0040162A" w:rsidRDefault="0040162A" w:rsidP="00AF2CC6">
            <w:pPr>
              <w:spacing w:line="276" w:lineRule="auto"/>
              <w:jc w:val="center"/>
              <w:rPr>
                <w:color w:val="000000"/>
                <w:szCs w:val="28"/>
              </w:rPr>
            </w:pPr>
            <w:r w:rsidRPr="0040162A">
              <w:rPr>
                <w:color w:val="000000"/>
                <w:szCs w:val="28"/>
              </w:rPr>
              <w:t>-7,8%</w:t>
            </w:r>
          </w:p>
        </w:tc>
      </w:tr>
      <w:tr w:rsidR="0040162A" w:rsidRPr="0040162A" w:rsidTr="00AF2CC6">
        <w:trPr>
          <w:trHeight w:val="300"/>
          <w:jc w:val="center"/>
        </w:trPr>
        <w:tc>
          <w:tcPr>
            <w:tcW w:w="2142" w:type="dxa"/>
            <w:shd w:val="clear" w:color="auto" w:fill="auto"/>
            <w:vAlign w:val="center"/>
            <w:hideMark/>
          </w:tcPr>
          <w:p w:rsidR="0040162A" w:rsidRPr="0040162A" w:rsidRDefault="0040162A" w:rsidP="00AF2CC6">
            <w:pPr>
              <w:spacing w:line="276" w:lineRule="auto"/>
              <w:jc w:val="center"/>
              <w:rPr>
                <w:color w:val="000000"/>
                <w:szCs w:val="28"/>
              </w:rPr>
            </w:pPr>
            <w:r w:rsidRPr="0040162A">
              <w:rPr>
                <w:color w:val="000000"/>
                <w:szCs w:val="28"/>
              </w:rPr>
              <w:t>ОМС</w:t>
            </w:r>
          </w:p>
        </w:tc>
        <w:tc>
          <w:tcPr>
            <w:tcW w:w="618" w:type="dxa"/>
            <w:vAlign w:val="center"/>
          </w:tcPr>
          <w:p w:rsidR="0040162A" w:rsidRPr="0040162A" w:rsidRDefault="0040162A" w:rsidP="00AF2CC6">
            <w:pPr>
              <w:spacing w:line="276" w:lineRule="auto"/>
              <w:jc w:val="center"/>
              <w:rPr>
                <w:color w:val="000000"/>
                <w:szCs w:val="28"/>
              </w:rPr>
            </w:pPr>
            <w:r w:rsidRPr="0040162A">
              <w:rPr>
                <w:color w:val="000000"/>
                <w:szCs w:val="28"/>
              </w:rPr>
              <w:t>12</w:t>
            </w:r>
          </w:p>
        </w:tc>
        <w:tc>
          <w:tcPr>
            <w:tcW w:w="1381"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23,5%</w:t>
            </w:r>
          </w:p>
        </w:tc>
        <w:tc>
          <w:tcPr>
            <w:tcW w:w="911"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18</w:t>
            </w:r>
          </w:p>
        </w:tc>
        <w:tc>
          <w:tcPr>
            <w:tcW w:w="1147" w:type="dxa"/>
            <w:vAlign w:val="center"/>
          </w:tcPr>
          <w:p w:rsidR="0040162A" w:rsidRPr="0040162A" w:rsidRDefault="0040162A" w:rsidP="00AF2CC6">
            <w:pPr>
              <w:spacing w:line="276" w:lineRule="auto"/>
              <w:jc w:val="center"/>
              <w:rPr>
                <w:color w:val="000000"/>
                <w:szCs w:val="28"/>
              </w:rPr>
            </w:pPr>
            <w:r w:rsidRPr="0040162A">
              <w:rPr>
                <w:color w:val="000000"/>
                <w:szCs w:val="28"/>
              </w:rPr>
              <w:t>72%</w:t>
            </w:r>
          </w:p>
        </w:tc>
        <w:tc>
          <w:tcPr>
            <w:tcW w:w="1165"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39</w:t>
            </w:r>
          </w:p>
        </w:tc>
        <w:tc>
          <w:tcPr>
            <w:tcW w:w="1147"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83%</w:t>
            </w:r>
          </w:p>
        </w:tc>
        <w:tc>
          <w:tcPr>
            <w:tcW w:w="1285" w:type="dxa"/>
            <w:vAlign w:val="center"/>
          </w:tcPr>
          <w:p w:rsidR="0040162A" w:rsidRPr="0040162A" w:rsidRDefault="0040162A" w:rsidP="00AF2CC6">
            <w:pPr>
              <w:spacing w:line="276" w:lineRule="auto"/>
              <w:jc w:val="center"/>
              <w:rPr>
                <w:color w:val="000000"/>
                <w:szCs w:val="28"/>
              </w:rPr>
            </w:pPr>
            <w:r w:rsidRPr="0040162A">
              <w:rPr>
                <w:color w:val="000000"/>
                <w:szCs w:val="28"/>
              </w:rPr>
              <w:t>рост в 3,3 раза</w:t>
            </w:r>
          </w:p>
        </w:tc>
      </w:tr>
      <w:tr w:rsidR="0040162A" w:rsidRPr="0040162A" w:rsidTr="00AF2CC6">
        <w:trPr>
          <w:trHeight w:val="300"/>
          <w:jc w:val="center"/>
        </w:trPr>
        <w:tc>
          <w:tcPr>
            <w:tcW w:w="2142" w:type="dxa"/>
            <w:shd w:val="clear" w:color="auto" w:fill="auto"/>
            <w:vAlign w:val="center"/>
            <w:hideMark/>
          </w:tcPr>
          <w:p w:rsidR="0040162A" w:rsidRPr="0040162A" w:rsidRDefault="0040162A" w:rsidP="00AF2CC6">
            <w:pPr>
              <w:spacing w:line="276" w:lineRule="auto"/>
              <w:jc w:val="center"/>
              <w:rPr>
                <w:color w:val="000000"/>
                <w:szCs w:val="28"/>
              </w:rPr>
            </w:pPr>
            <w:r w:rsidRPr="0040162A">
              <w:rPr>
                <w:color w:val="000000"/>
                <w:szCs w:val="28"/>
              </w:rPr>
              <w:t>ФОИВ</w:t>
            </w:r>
          </w:p>
        </w:tc>
        <w:tc>
          <w:tcPr>
            <w:tcW w:w="618" w:type="dxa"/>
            <w:vAlign w:val="center"/>
          </w:tcPr>
          <w:p w:rsidR="0040162A" w:rsidRPr="0040162A" w:rsidRDefault="0040162A" w:rsidP="00AF2CC6">
            <w:pPr>
              <w:spacing w:line="276" w:lineRule="auto"/>
              <w:jc w:val="center"/>
              <w:rPr>
                <w:color w:val="000000"/>
                <w:szCs w:val="28"/>
              </w:rPr>
            </w:pPr>
            <w:r w:rsidRPr="0040162A">
              <w:rPr>
                <w:color w:val="000000"/>
                <w:szCs w:val="28"/>
              </w:rPr>
              <w:t>0</w:t>
            </w:r>
          </w:p>
        </w:tc>
        <w:tc>
          <w:tcPr>
            <w:tcW w:w="1381"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0</w:t>
            </w:r>
          </w:p>
        </w:tc>
        <w:tc>
          <w:tcPr>
            <w:tcW w:w="911"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1</w:t>
            </w:r>
          </w:p>
        </w:tc>
        <w:tc>
          <w:tcPr>
            <w:tcW w:w="1147" w:type="dxa"/>
            <w:vAlign w:val="center"/>
          </w:tcPr>
          <w:p w:rsidR="0040162A" w:rsidRPr="0040162A" w:rsidRDefault="0040162A" w:rsidP="00AF2CC6">
            <w:pPr>
              <w:spacing w:line="276" w:lineRule="auto"/>
              <w:jc w:val="center"/>
              <w:rPr>
                <w:color w:val="000000"/>
                <w:szCs w:val="28"/>
              </w:rPr>
            </w:pPr>
            <w:r w:rsidRPr="0040162A">
              <w:rPr>
                <w:color w:val="000000"/>
                <w:szCs w:val="28"/>
              </w:rPr>
              <w:t>4%</w:t>
            </w:r>
          </w:p>
        </w:tc>
        <w:tc>
          <w:tcPr>
            <w:tcW w:w="1165"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1</w:t>
            </w:r>
          </w:p>
        </w:tc>
        <w:tc>
          <w:tcPr>
            <w:tcW w:w="1147"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2%</w:t>
            </w:r>
          </w:p>
        </w:tc>
        <w:tc>
          <w:tcPr>
            <w:tcW w:w="1285" w:type="dxa"/>
            <w:vAlign w:val="center"/>
          </w:tcPr>
          <w:p w:rsidR="0040162A" w:rsidRPr="0040162A" w:rsidRDefault="0040162A" w:rsidP="00AF2CC6">
            <w:pPr>
              <w:spacing w:line="276" w:lineRule="auto"/>
              <w:jc w:val="center"/>
              <w:rPr>
                <w:color w:val="000000"/>
                <w:szCs w:val="28"/>
              </w:rPr>
            </w:pPr>
            <w:r w:rsidRPr="0040162A">
              <w:rPr>
                <w:color w:val="000000"/>
                <w:szCs w:val="28"/>
              </w:rPr>
              <w:t>0</w:t>
            </w:r>
          </w:p>
        </w:tc>
      </w:tr>
      <w:tr w:rsidR="0040162A" w:rsidRPr="0040162A" w:rsidTr="00AF2CC6">
        <w:trPr>
          <w:trHeight w:val="300"/>
          <w:jc w:val="center"/>
        </w:trPr>
        <w:tc>
          <w:tcPr>
            <w:tcW w:w="2142" w:type="dxa"/>
            <w:shd w:val="clear" w:color="auto" w:fill="auto"/>
            <w:vAlign w:val="center"/>
            <w:hideMark/>
          </w:tcPr>
          <w:p w:rsidR="0040162A" w:rsidRPr="0040162A" w:rsidRDefault="0040162A" w:rsidP="00AF2CC6">
            <w:pPr>
              <w:spacing w:line="276" w:lineRule="auto"/>
              <w:jc w:val="center"/>
              <w:rPr>
                <w:color w:val="000000"/>
                <w:szCs w:val="28"/>
              </w:rPr>
            </w:pPr>
            <w:r w:rsidRPr="0040162A">
              <w:rPr>
                <w:color w:val="000000"/>
                <w:szCs w:val="28"/>
              </w:rPr>
              <w:t>ОГВ субъекта</w:t>
            </w:r>
          </w:p>
        </w:tc>
        <w:tc>
          <w:tcPr>
            <w:tcW w:w="618" w:type="dxa"/>
            <w:vAlign w:val="center"/>
          </w:tcPr>
          <w:p w:rsidR="0040162A" w:rsidRPr="0040162A" w:rsidRDefault="0040162A" w:rsidP="00AF2CC6">
            <w:pPr>
              <w:spacing w:line="276" w:lineRule="auto"/>
              <w:jc w:val="center"/>
              <w:rPr>
                <w:color w:val="000000"/>
                <w:szCs w:val="28"/>
              </w:rPr>
            </w:pPr>
            <w:r w:rsidRPr="0040162A">
              <w:rPr>
                <w:color w:val="000000"/>
                <w:szCs w:val="28"/>
              </w:rPr>
              <w:t>39</w:t>
            </w:r>
          </w:p>
        </w:tc>
        <w:tc>
          <w:tcPr>
            <w:tcW w:w="1381"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76,5%</w:t>
            </w:r>
          </w:p>
        </w:tc>
        <w:tc>
          <w:tcPr>
            <w:tcW w:w="911"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6</w:t>
            </w:r>
          </w:p>
        </w:tc>
        <w:tc>
          <w:tcPr>
            <w:tcW w:w="1147" w:type="dxa"/>
            <w:vAlign w:val="center"/>
          </w:tcPr>
          <w:p w:rsidR="0040162A" w:rsidRPr="0040162A" w:rsidRDefault="0040162A" w:rsidP="00AF2CC6">
            <w:pPr>
              <w:spacing w:line="276" w:lineRule="auto"/>
              <w:jc w:val="center"/>
              <w:rPr>
                <w:color w:val="000000"/>
                <w:szCs w:val="28"/>
              </w:rPr>
            </w:pPr>
            <w:r w:rsidRPr="0040162A">
              <w:rPr>
                <w:color w:val="000000"/>
                <w:szCs w:val="28"/>
              </w:rPr>
              <w:t>24%</w:t>
            </w:r>
          </w:p>
        </w:tc>
        <w:tc>
          <w:tcPr>
            <w:tcW w:w="1165"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7</w:t>
            </w:r>
          </w:p>
        </w:tc>
        <w:tc>
          <w:tcPr>
            <w:tcW w:w="1147" w:type="dxa"/>
            <w:shd w:val="clear" w:color="auto" w:fill="auto"/>
            <w:noWrap/>
            <w:vAlign w:val="center"/>
            <w:hideMark/>
          </w:tcPr>
          <w:p w:rsidR="0040162A" w:rsidRPr="0040162A" w:rsidRDefault="0040162A" w:rsidP="00AF2CC6">
            <w:pPr>
              <w:spacing w:line="276" w:lineRule="auto"/>
              <w:jc w:val="center"/>
              <w:rPr>
                <w:color w:val="000000"/>
                <w:szCs w:val="28"/>
              </w:rPr>
            </w:pPr>
            <w:r w:rsidRPr="0040162A">
              <w:rPr>
                <w:color w:val="000000"/>
                <w:szCs w:val="28"/>
              </w:rPr>
              <w:t>15%</w:t>
            </w:r>
          </w:p>
        </w:tc>
        <w:tc>
          <w:tcPr>
            <w:tcW w:w="1285" w:type="dxa"/>
            <w:vAlign w:val="center"/>
          </w:tcPr>
          <w:p w:rsidR="0040162A" w:rsidRPr="0040162A" w:rsidRDefault="0040162A" w:rsidP="00AF2CC6">
            <w:pPr>
              <w:spacing w:line="276" w:lineRule="auto"/>
              <w:jc w:val="center"/>
              <w:rPr>
                <w:color w:val="000000"/>
                <w:szCs w:val="28"/>
              </w:rPr>
            </w:pPr>
            <w:r w:rsidRPr="0040162A">
              <w:rPr>
                <w:color w:val="000000"/>
                <w:szCs w:val="28"/>
              </w:rPr>
              <w:t>-82.5%</w:t>
            </w:r>
          </w:p>
        </w:tc>
      </w:tr>
    </w:tbl>
    <w:p w:rsidR="00AF2CC6" w:rsidRDefault="00AF2CC6" w:rsidP="00AF2CC6">
      <w:pPr>
        <w:spacing w:line="276" w:lineRule="auto"/>
        <w:ind w:firstLine="709"/>
        <w:jc w:val="both"/>
        <w:rPr>
          <w:szCs w:val="28"/>
        </w:rPr>
      </w:pPr>
    </w:p>
    <w:p w:rsidR="0040162A" w:rsidRDefault="0040162A" w:rsidP="00AF2CC6">
      <w:pPr>
        <w:spacing w:line="276" w:lineRule="auto"/>
        <w:ind w:firstLine="709"/>
        <w:jc w:val="both"/>
        <w:rPr>
          <w:szCs w:val="28"/>
        </w:rPr>
      </w:pPr>
      <w:r w:rsidRPr="0040162A">
        <w:rPr>
          <w:szCs w:val="28"/>
        </w:rPr>
        <w:t>*количество нарушений, если считать по нарушителям, но необходимо помнить, что по статье 16 нарушителей со стороны органов власти может 2 и более.</w:t>
      </w:r>
    </w:p>
    <w:p w:rsidR="00AF2CC6" w:rsidRPr="0040162A" w:rsidRDefault="00AF2CC6" w:rsidP="00AF2CC6">
      <w:pPr>
        <w:spacing w:line="276" w:lineRule="auto"/>
        <w:ind w:firstLine="709"/>
        <w:jc w:val="both"/>
        <w:rPr>
          <w:szCs w:val="28"/>
        </w:rPr>
      </w:pPr>
    </w:p>
    <w:p w:rsidR="0040162A" w:rsidRDefault="0040162A" w:rsidP="00AF2CC6">
      <w:pPr>
        <w:spacing w:line="276" w:lineRule="auto"/>
        <w:ind w:firstLine="709"/>
        <w:jc w:val="both"/>
        <w:rPr>
          <w:b/>
          <w:szCs w:val="28"/>
        </w:rPr>
      </w:pPr>
      <w:r w:rsidRPr="00ED3842">
        <w:rPr>
          <w:b/>
          <w:szCs w:val="28"/>
        </w:rPr>
        <w:t>Структура нарушений по квалификации:</w:t>
      </w:r>
    </w:p>
    <w:p w:rsidR="00ED3842" w:rsidRPr="00ED3842" w:rsidRDefault="00ED3842" w:rsidP="00AF2CC6">
      <w:pPr>
        <w:spacing w:line="276" w:lineRule="auto"/>
        <w:ind w:firstLine="709"/>
        <w:jc w:val="both"/>
        <w:rPr>
          <w:b/>
          <w:szCs w:val="28"/>
        </w:rPr>
      </w:pPr>
    </w:p>
    <w:tbl>
      <w:tblPr>
        <w:tblStyle w:val="aa"/>
        <w:tblW w:w="0" w:type="auto"/>
        <w:jc w:val="center"/>
        <w:tblLook w:val="04A0" w:firstRow="1" w:lastRow="0" w:firstColumn="1" w:lastColumn="0" w:noHBand="0" w:noVBand="1"/>
      </w:tblPr>
      <w:tblGrid>
        <w:gridCol w:w="2396"/>
        <w:gridCol w:w="2385"/>
        <w:gridCol w:w="2386"/>
        <w:gridCol w:w="2404"/>
      </w:tblGrid>
      <w:tr w:rsidR="0040162A" w:rsidRPr="0040162A" w:rsidTr="00AF2CC6">
        <w:trPr>
          <w:jc w:val="center"/>
        </w:trPr>
        <w:tc>
          <w:tcPr>
            <w:tcW w:w="2463" w:type="dxa"/>
            <w:vAlign w:val="center"/>
          </w:tcPr>
          <w:p w:rsidR="0040162A" w:rsidRPr="0040162A" w:rsidRDefault="0040162A" w:rsidP="00AF2CC6">
            <w:pPr>
              <w:spacing w:line="276" w:lineRule="auto"/>
              <w:jc w:val="center"/>
              <w:rPr>
                <w:szCs w:val="28"/>
              </w:rPr>
            </w:pPr>
            <w:r w:rsidRPr="0040162A">
              <w:rPr>
                <w:szCs w:val="28"/>
              </w:rPr>
              <w:t>Статья</w:t>
            </w:r>
          </w:p>
        </w:tc>
        <w:tc>
          <w:tcPr>
            <w:tcW w:w="2463" w:type="dxa"/>
            <w:vAlign w:val="center"/>
          </w:tcPr>
          <w:p w:rsidR="0040162A" w:rsidRPr="0040162A" w:rsidRDefault="0040162A" w:rsidP="00AF2CC6">
            <w:pPr>
              <w:spacing w:line="276" w:lineRule="auto"/>
              <w:jc w:val="center"/>
              <w:rPr>
                <w:szCs w:val="28"/>
              </w:rPr>
            </w:pPr>
            <w:r w:rsidRPr="0040162A">
              <w:rPr>
                <w:szCs w:val="28"/>
              </w:rPr>
              <w:t>2017</w:t>
            </w:r>
          </w:p>
        </w:tc>
        <w:tc>
          <w:tcPr>
            <w:tcW w:w="2464" w:type="dxa"/>
            <w:vAlign w:val="center"/>
          </w:tcPr>
          <w:p w:rsidR="0040162A" w:rsidRPr="0040162A" w:rsidRDefault="0040162A" w:rsidP="00AF2CC6">
            <w:pPr>
              <w:spacing w:line="276" w:lineRule="auto"/>
              <w:jc w:val="center"/>
              <w:rPr>
                <w:szCs w:val="28"/>
              </w:rPr>
            </w:pPr>
            <w:r w:rsidRPr="0040162A">
              <w:rPr>
                <w:szCs w:val="28"/>
              </w:rPr>
              <w:t>2018</w:t>
            </w:r>
          </w:p>
        </w:tc>
        <w:tc>
          <w:tcPr>
            <w:tcW w:w="2464" w:type="dxa"/>
            <w:vAlign w:val="center"/>
          </w:tcPr>
          <w:p w:rsidR="0040162A" w:rsidRPr="0040162A" w:rsidRDefault="0040162A" w:rsidP="00AF2CC6">
            <w:pPr>
              <w:spacing w:line="276" w:lineRule="auto"/>
              <w:jc w:val="center"/>
              <w:rPr>
                <w:szCs w:val="28"/>
              </w:rPr>
            </w:pPr>
            <w:r w:rsidRPr="0040162A">
              <w:rPr>
                <w:szCs w:val="28"/>
              </w:rPr>
              <w:t>2019, 11 месяцев</w:t>
            </w:r>
          </w:p>
        </w:tc>
      </w:tr>
      <w:tr w:rsidR="0040162A" w:rsidRPr="0040162A" w:rsidTr="00AF2CC6">
        <w:trPr>
          <w:jc w:val="center"/>
        </w:trPr>
        <w:tc>
          <w:tcPr>
            <w:tcW w:w="2463" w:type="dxa"/>
            <w:vAlign w:val="center"/>
          </w:tcPr>
          <w:p w:rsidR="0040162A" w:rsidRPr="0040162A" w:rsidRDefault="0040162A" w:rsidP="00AF2CC6">
            <w:pPr>
              <w:spacing w:line="276" w:lineRule="auto"/>
              <w:jc w:val="center"/>
              <w:rPr>
                <w:szCs w:val="28"/>
              </w:rPr>
            </w:pPr>
            <w:r w:rsidRPr="0040162A">
              <w:rPr>
                <w:szCs w:val="28"/>
              </w:rPr>
              <w:t>15</w:t>
            </w:r>
          </w:p>
        </w:tc>
        <w:tc>
          <w:tcPr>
            <w:tcW w:w="2463" w:type="dxa"/>
            <w:vAlign w:val="center"/>
          </w:tcPr>
          <w:p w:rsidR="0040162A" w:rsidRPr="0040162A" w:rsidRDefault="0040162A" w:rsidP="00AF2CC6">
            <w:pPr>
              <w:spacing w:line="276" w:lineRule="auto"/>
              <w:jc w:val="center"/>
              <w:rPr>
                <w:szCs w:val="28"/>
              </w:rPr>
            </w:pPr>
            <w:r w:rsidRPr="0040162A">
              <w:rPr>
                <w:szCs w:val="28"/>
              </w:rPr>
              <w:t>42</w:t>
            </w:r>
          </w:p>
        </w:tc>
        <w:tc>
          <w:tcPr>
            <w:tcW w:w="2464" w:type="dxa"/>
            <w:vAlign w:val="center"/>
          </w:tcPr>
          <w:p w:rsidR="0040162A" w:rsidRPr="0040162A" w:rsidRDefault="0040162A" w:rsidP="00AF2CC6">
            <w:pPr>
              <w:spacing w:line="276" w:lineRule="auto"/>
              <w:jc w:val="center"/>
              <w:rPr>
                <w:szCs w:val="28"/>
              </w:rPr>
            </w:pPr>
            <w:r w:rsidRPr="0040162A">
              <w:rPr>
                <w:szCs w:val="28"/>
              </w:rPr>
              <w:t>18</w:t>
            </w:r>
          </w:p>
        </w:tc>
        <w:tc>
          <w:tcPr>
            <w:tcW w:w="2464" w:type="dxa"/>
            <w:vAlign w:val="center"/>
          </w:tcPr>
          <w:p w:rsidR="0040162A" w:rsidRPr="0040162A" w:rsidRDefault="0040162A" w:rsidP="00AF2CC6">
            <w:pPr>
              <w:spacing w:line="276" w:lineRule="auto"/>
              <w:jc w:val="center"/>
              <w:rPr>
                <w:szCs w:val="28"/>
              </w:rPr>
            </w:pPr>
            <w:r w:rsidRPr="0040162A">
              <w:rPr>
                <w:szCs w:val="28"/>
              </w:rPr>
              <w:t>41</w:t>
            </w:r>
          </w:p>
        </w:tc>
      </w:tr>
      <w:tr w:rsidR="0040162A" w:rsidRPr="0040162A" w:rsidTr="00AF2CC6">
        <w:trPr>
          <w:jc w:val="center"/>
        </w:trPr>
        <w:tc>
          <w:tcPr>
            <w:tcW w:w="2463" w:type="dxa"/>
            <w:vAlign w:val="center"/>
          </w:tcPr>
          <w:p w:rsidR="0040162A" w:rsidRPr="0040162A" w:rsidRDefault="0040162A" w:rsidP="00AF2CC6">
            <w:pPr>
              <w:spacing w:line="276" w:lineRule="auto"/>
              <w:jc w:val="center"/>
              <w:rPr>
                <w:szCs w:val="28"/>
              </w:rPr>
            </w:pPr>
            <w:r w:rsidRPr="0040162A">
              <w:rPr>
                <w:szCs w:val="28"/>
              </w:rPr>
              <w:t>16</w:t>
            </w:r>
          </w:p>
        </w:tc>
        <w:tc>
          <w:tcPr>
            <w:tcW w:w="2463" w:type="dxa"/>
            <w:vAlign w:val="center"/>
          </w:tcPr>
          <w:p w:rsidR="0040162A" w:rsidRPr="0040162A" w:rsidRDefault="0040162A" w:rsidP="00AF2CC6">
            <w:pPr>
              <w:spacing w:line="276" w:lineRule="auto"/>
              <w:jc w:val="center"/>
              <w:rPr>
                <w:szCs w:val="28"/>
              </w:rPr>
            </w:pPr>
            <w:r w:rsidRPr="0040162A">
              <w:rPr>
                <w:szCs w:val="28"/>
              </w:rPr>
              <w:t>4</w:t>
            </w:r>
          </w:p>
        </w:tc>
        <w:tc>
          <w:tcPr>
            <w:tcW w:w="2464" w:type="dxa"/>
            <w:vAlign w:val="center"/>
          </w:tcPr>
          <w:p w:rsidR="0040162A" w:rsidRPr="0040162A" w:rsidRDefault="0040162A" w:rsidP="00AF2CC6">
            <w:pPr>
              <w:spacing w:line="276" w:lineRule="auto"/>
              <w:jc w:val="center"/>
              <w:rPr>
                <w:szCs w:val="28"/>
              </w:rPr>
            </w:pPr>
            <w:r w:rsidRPr="0040162A">
              <w:rPr>
                <w:szCs w:val="28"/>
              </w:rPr>
              <w:t>2</w:t>
            </w:r>
          </w:p>
        </w:tc>
        <w:tc>
          <w:tcPr>
            <w:tcW w:w="2464" w:type="dxa"/>
            <w:vAlign w:val="center"/>
          </w:tcPr>
          <w:p w:rsidR="0040162A" w:rsidRPr="0040162A" w:rsidRDefault="0040162A" w:rsidP="00AF2CC6">
            <w:pPr>
              <w:spacing w:line="276" w:lineRule="auto"/>
              <w:jc w:val="center"/>
              <w:rPr>
                <w:szCs w:val="28"/>
              </w:rPr>
            </w:pPr>
            <w:r w:rsidRPr="0040162A">
              <w:rPr>
                <w:szCs w:val="28"/>
              </w:rPr>
              <w:t>2</w:t>
            </w:r>
          </w:p>
        </w:tc>
      </w:tr>
      <w:tr w:rsidR="0040162A" w:rsidRPr="0040162A" w:rsidTr="00AF2CC6">
        <w:trPr>
          <w:jc w:val="center"/>
        </w:trPr>
        <w:tc>
          <w:tcPr>
            <w:tcW w:w="2463" w:type="dxa"/>
            <w:vAlign w:val="center"/>
          </w:tcPr>
          <w:p w:rsidR="0040162A" w:rsidRPr="0040162A" w:rsidRDefault="0040162A" w:rsidP="00AF2CC6">
            <w:pPr>
              <w:spacing w:line="276" w:lineRule="auto"/>
              <w:jc w:val="center"/>
              <w:rPr>
                <w:szCs w:val="28"/>
              </w:rPr>
            </w:pPr>
            <w:r w:rsidRPr="0040162A">
              <w:rPr>
                <w:szCs w:val="28"/>
              </w:rPr>
              <w:t>17</w:t>
            </w:r>
          </w:p>
        </w:tc>
        <w:tc>
          <w:tcPr>
            <w:tcW w:w="2463" w:type="dxa"/>
            <w:vAlign w:val="center"/>
          </w:tcPr>
          <w:p w:rsidR="0040162A" w:rsidRPr="0040162A" w:rsidRDefault="0040162A" w:rsidP="00AF2CC6">
            <w:pPr>
              <w:spacing w:line="276" w:lineRule="auto"/>
              <w:jc w:val="center"/>
              <w:rPr>
                <w:szCs w:val="28"/>
              </w:rPr>
            </w:pPr>
            <w:r w:rsidRPr="0040162A">
              <w:rPr>
                <w:szCs w:val="28"/>
              </w:rPr>
              <w:t>0</w:t>
            </w:r>
          </w:p>
        </w:tc>
        <w:tc>
          <w:tcPr>
            <w:tcW w:w="2464" w:type="dxa"/>
            <w:vAlign w:val="center"/>
          </w:tcPr>
          <w:p w:rsidR="0040162A" w:rsidRPr="0040162A" w:rsidRDefault="0040162A" w:rsidP="00AF2CC6">
            <w:pPr>
              <w:spacing w:line="276" w:lineRule="auto"/>
              <w:jc w:val="center"/>
              <w:rPr>
                <w:szCs w:val="28"/>
              </w:rPr>
            </w:pPr>
            <w:r w:rsidRPr="0040162A">
              <w:rPr>
                <w:szCs w:val="28"/>
              </w:rPr>
              <w:t>1</w:t>
            </w:r>
          </w:p>
        </w:tc>
        <w:tc>
          <w:tcPr>
            <w:tcW w:w="2464" w:type="dxa"/>
            <w:vAlign w:val="center"/>
          </w:tcPr>
          <w:p w:rsidR="0040162A" w:rsidRPr="0040162A" w:rsidRDefault="0040162A" w:rsidP="00AF2CC6">
            <w:pPr>
              <w:spacing w:line="276" w:lineRule="auto"/>
              <w:jc w:val="center"/>
              <w:rPr>
                <w:szCs w:val="28"/>
              </w:rPr>
            </w:pPr>
            <w:r w:rsidRPr="0040162A">
              <w:rPr>
                <w:szCs w:val="28"/>
              </w:rPr>
              <w:t>0</w:t>
            </w:r>
          </w:p>
        </w:tc>
      </w:tr>
      <w:tr w:rsidR="0040162A" w:rsidRPr="0040162A" w:rsidTr="00AF2CC6">
        <w:trPr>
          <w:jc w:val="center"/>
        </w:trPr>
        <w:tc>
          <w:tcPr>
            <w:tcW w:w="2463" w:type="dxa"/>
            <w:vAlign w:val="center"/>
          </w:tcPr>
          <w:p w:rsidR="0040162A" w:rsidRPr="0040162A" w:rsidRDefault="0040162A" w:rsidP="00AF2CC6">
            <w:pPr>
              <w:spacing w:line="276" w:lineRule="auto"/>
              <w:jc w:val="center"/>
              <w:rPr>
                <w:szCs w:val="28"/>
              </w:rPr>
            </w:pPr>
            <w:r w:rsidRPr="0040162A">
              <w:rPr>
                <w:szCs w:val="28"/>
              </w:rPr>
              <w:t>17.1</w:t>
            </w:r>
          </w:p>
        </w:tc>
        <w:tc>
          <w:tcPr>
            <w:tcW w:w="2463" w:type="dxa"/>
            <w:vAlign w:val="center"/>
          </w:tcPr>
          <w:p w:rsidR="0040162A" w:rsidRPr="0040162A" w:rsidRDefault="0040162A" w:rsidP="00AF2CC6">
            <w:pPr>
              <w:spacing w:line="276" w:lineRule="auto"/>
              <w:jc w:val="center"/>
              <w:rPr>
                <w:szCs w:val="28"/>
              </w:rPr>
            </w:pPr>
            <w:r w:rsidRPr="0040162A">
              <w:rPr>
                <w:szCs w:val="28"/>
              </w:rPr>
              <w:t>1</w:t>
            </w:r>
          </w:p>
        </w:tc>
        <w:tc>
          <w:tcPr>
            <w:tcW w:w="2464" w:type="dxa"/>
            <w:vAlign w:val="center"/>
          </w:tcPr>
          <w:p w:rsidR="0040162A" w:rsidRPr="0040162A" w:rsidRDefault="0040162A" w:rsidP="00AF2CC6">
            <w:pPr>
              <w:spacing w:line="276" w:lineRule="auto"/>
              <w:jc w:val="center"/>
              <w:rPr>
                <w:szCs w:val="28"/>
              </w:rPr>
            </w:pPr>
            <w:r w:rsidRPr="0040162A">
              <w:rPr>
                <w:szCs w:val="28"/>
              </w:rPr>
              <w:t>4</w:t>
            </w:r>
          </w:p>
        </w:tc>
        <w:tc>
          <w:tcPr>
            <w:tcW w:w="2464" w:type="dxa"/>
            <w:vAlign w:val="center"/>
          </w:tcPr>
          <w:p w:rsidR="0040162A" w:rsidRPr="0040162A" w:rsidRDefault="0040162A" w:rsidP="00AF2CC6">
            <w:pPr>
              <w:spacing w:line="276" w:lineRule="auto"/>
              <w:jc w:val="center"/>
              <w:rPr>
                <w:szCs w:val="28"/>
              </w:rPr>
            </w:pPr>
            <w:r w:rsidRPr="0040162A">
              <w:rPr>
                <w:szCs w:val="28"/>
              </w:rPr>
              <w:t>3</w:t>
            </w:r>
          </w:p>
        </w:tc>
      </w:tr>
    </w:tbl>
    <w:p w:rsidR="00ED3842" w:rsidRDefault="00ED3842" w:rsidP="006C469D">
      <w:pPr>
        <w:spacing w:line="276" w:lineRule="auto"/>
        <w:ind w:firstLine="709"/>
        <w:jc w:val="both"/>
        <w:rPr>
          <w:szCs w:val="28"/>
        </w:rPr>
      </w:pPr>
    </w:p>
    <w:p w:rsidR="0040162A" w:rsidRPr="0040162A" w:rsidRDefault="0040162A" w:rsidP="006C469D">
      <w:pPr>
        <w:spacing w:line="276" w:lineRule="auto"/>
        <w:ind w:firstLine="709"/>
        <w:jc w:val="both"/>
        <w:rPr>
          <w:szCs w:val="28"/>
        </w:rPr>
      </w:pPr>
      <w:r w:rsidRPr="0040162A">
        <w:rPr>
          <w:szCs w:val="28"/>
        </w:rPr>
        <w:t>Структура выявленных нарушений по видам:</w:t>
      </w:r>
    </w:p>
    <w:p w:rsidR="0040162A" w:rsidRPr="0040162A" w:rsidRDefault="0040162A" w:rsidP="006C469D">
      <w:pPr>
        <w:spacing w:line="276" w:lineRule="auto"/>
        <w:ind w:firstLine="709"/>
        <w:jc w:val="both"/>
        <w:rPr>
          <w:szCs w:val="28"/>
        </w:rPr>
      </w:pPr>
      <w:r w:rsidRPr="0040162A">
        <w:rPr>
          <w:szCs w:val="28"/>
        </w:rPr>
        <w:t>- Направление указаний о запрете приобретения товаров, работ, услуг у определенных субъектов (2);</w:t>
      </w:r>
    </w:p>
    <w:p w:rsidR="0040162A" w:rsidRPr="0040162A" w:rsidRDefault="0040162A" w:rsidP="006C469D">
      <w:pPr>
        <w:spacing w:line="276" w:lineRule="auto"/>
        <w:ind w:firstLine="709"/>
        <w:jc w:val="both"/>
        <w:rPr>
          <w:szCs w:val="28"/>
        </w:rPr>
      </w:pPr>
      <w:r w:rsidRPr="0040162A">
        <w:rPr>
          <w:szCs w:val="28"/>
        </w:rPr>
        <w:t>- направление указаний о конкретных лицах, осуществляющих реализацию товаров работ, услуг (19);</w:t>
      </w:r>
    </w:p>
    <w:p w:rsidR="0040162A" w:rsidRPr="0040162A" w:rsidRDefault="0040162A" w:rsidP="006C469D">
      <w:pPr>
        <w:spacing w:line="276" w:lineRule="auto"/>
        <w:ind w:firstLine="709"/>
        <w:jc w:val="both"/>
        <w:rPr>
          <w:szCs w:val="28"/>
        </w:rPr>
      </w:pPr>
      <w:r w:rsidRPr="0040162A">
        <w:rPr>
          <w:szCs w:val="28"/>
        </w:rPr>
        <w:t>-необоснованное предоставление преференций путем предоставления без торгов муниципального имущества (3);</w:t>
      </w:r>
    </w:p>
    <w:p w:rsidR="0040162A" w:rsidRPr="0040162A" w:rsidRDefault="0040162A" w:rsidP="006C469D">
      <w:pPr>
        <w:spacing w:line="276" w:lineRule="auto"/>
        <w:ind w:firstLine="709"/>
        <w:jc w:val="both"/>
        <w:rPr>
          <w:szCs w:val="28"/>
        </w:rPr>
      </w:pPr>
      <w:r w:rsidRPr="0040162A">
        <w:rPr>
          <w:szCs w:val="28"/>
        </w:rPr>
        <w:t>-заключение договора управления МКЖД без проведения конкурсного отбора (3);</w:t>
      </w:r>
    </w:p>
    <w:p w:rsidR="0040162A" w:rsidRPr="0040162A" w:rsidRDefault="0040162A" w:rsidP="006C469D">
      <w:pPr>
        <w:spacing w:line="276" w:lineRule="auto"/>
        <w:ind w:firstLine="709"/>
        <w:jc w:val="both"/>
        <w:rPr>
          <w:szCs w:val="28"/>
        </w:rPr>
      </w:pPr>
      <w:r w:rsidRPr="0040162A">
        <w:rPr>
          <w:szCs w:val="28"/>
        </w:rPr>
        <w:t>- замена закупочных процедур предоставлением субсидий (2);</w:t>
      </w:r>
    </w:p>
    <w:p w:rsidR="0040162A" w:rsidRPr="0040162A" w:rsidRDefault="0040162A" w:rsidP="006C469D">
      <w:pPr>
        <w:spacing w:line="276" w:lineRule="auto"/>
        <w:ind w:firstLine="709"/>
        <w:jc w:val="both"/>
        <w:rPr>
          <w:szCs w:val="28"/>
        </w:rPr>
      </w:pPr>
      <w:r w:rsidRPr="0040162A">
        <w:rPr>
          <w:szCs w:val="28"/>
        </w:rPr>
        <w:t>-иные (12).</w:t>
      </w:r>
    </w:p>
    <w:p w:rsidR="0040162A" w:rsidRPr="0040162A" w:rsidRDefault="0040162A" w:rsidP="006C469D">
      <w:pPr>
        <w:spacing w:line="276" w:lineRule="auto"/>
        <w:ind w:firstLine="709"/>
        <w:jc w:val="both"/>
        <w:rPr>
          <w:szCs w:val="28"/>
        </w:rPr>
      </w:pPr>
      <w:r w:rsidRPr="0040162A">
        <w:rPr>
          <w:szCs w:val="28"/>
        </w:rPr>
        <w:lastRenderedPageBreak/>
        <w:t>По статье 16 за 11 месяцев 2019 года выявлено 2 нарушения.</w:t>
      </w:r>
    </w:p>
    <w:p w:rsidR="0040162A" w:rsidRPr="0040162A" w:rsidRDefault="0040162A" w:rsidP="006C469D">
      <w:pPr>
        <w:spacing w:line="276" w:lineRule="auto"/>
        <w:ind w:firstLine="709"/>
        <w:jc w:val="both"/>
        <w:rPr>
          <w:szCs w:val="28"/>
        </w:rPr>
      </w:pPr>
      <w:r w:rsidRPr="0040162A">
        <w:rPr>
          <w:szCs w:val="28"/>
        </w:rPr>
        <w:t xml:space="preserve"> По статье 17.1 -3;</w:t>
      </w:r>
    </w:p>
    <w:p w:rsidR="0040162A" w:rsidRDefault="0040162A" w:rsidP="006C469D">
      <w:pPr>
        <w:spacing w:line="276" w:lineRule="auto"/>
        <w:ind w:firstLine="709"/>
        <w:jc w:val="both"/>
        <w:rPr>
          <w:szCs w:val="28"/>
        </w:rPr>
      </w:pPr>
      <w:r w:rsidRPr="0040162A">
        <w:rPr>
          <w:szCs w:val="28"/>
        </w:rPr>
        <w:t>Итого: 44.</w:t>
      </w:r>
    </w:p>
    <w:p w:rsidR="00AF2CC6" w:rsidRPr="0040162A" w:rsidRDefault="00AF2CC6" w:rsidP="006C469D">
      <w:pPr>
        <w:spacing w:line="276" w:lineRule="auto"/>
        <w:ind w:firstLine="709"/>
        <w:jc w:val="both"/>
        <w:rPr>
          <w:szCs w:val="28"/>
        </w:rPr>
      </w:pPr>
    </w:p>
    <w:p w:rsidR="0040162A" w:rsidRDefault="0040162A" w:rsidP="006C469D">
      <w:pPr>
        <w:spacing w:line="276" w:lineRule="auto"/>
        <w:ind w:firstLine="709"/>
        <w:jc w:val="both"/>
        <w:rPr>
          <w:b/>
          <w:szCs w:val="28"/>
        </w:rPr>
      </w:pPr>
      <w:r w:rsidRPr="0040162A">
        <w:rPr>
          <w:b/>
          <w:szCs w:val="28"/>
        </w:rPr>
        <w:t>Ключевой показатель, предусмотренный Национальным планом развития конкуренции, не достигнут.</w:t>
      </w:r>
    </w:p>
    <w:p w:rsidR="00AF2CC6" w:rsidRPr="0040162A" w:rsidRDefault="00AF2CC6" w:rsidP="006C469D">
      <w:pPr>
        <w:spacing w:line="276" w:lineRule="auto"/>
        <w:ind w:firstLine="709"/>
        <w:jc w:val="both"/>
        <w:rPr>
          <w:b/>
          <w:szCs w:val="28"/>
        </w:rPr>
      </w:pPr>
    </w:p>
    <w:p w:rsidR="0040162A" w:rsidRPr="0040162A" w:rsidRDefault="0040162A" w:rsidP="006C469D">
      <w:pPr>
        <w:spacing w:line="276" w:lineRule="auto"/>
        <w:ind w:firstLine="709"/>
        <w:jc w:val="both"/>
        <w:rPr>
          <w:szCs w:val="28"/>
        </w:rPr>
      </w:pPr>
      <w:r w:rsidRPr="0040162A">
        <w:rPr>
          <w:szCs w:val="28"/>
        </w:rPr>
        <w:t xml:space="preserve">За данные нарушения к административной ответственности в виде административного штрафа за 2019 год по статье 14.32 КоАП РФ привлечено </w:t>
      </w:r>
      <w:r w:rsidRPr="0009036D">
        <w:rPr>
          <w:b/>
          <w:szCs w:val="28"/>
        </w:rPr>
        <w:t>8 должностных лиц</w:t>
      </w:r>
      <w:r w:rsidRPr="0040162A">
        <w:rPr>
          <w:szCs w:val="28"/>
        </w:rPr>
        <w:t xml:space="preserve"> (штраф на каждого составил 20 тысяч рублей). </w:t>
      </w:r>
    </w:p>
    <w:p w:rsidR="0009036D" w:rsidRDefault="0040162A" w:rsidP="006C469D">
      <w:pPr>
        <w:spacing w:line="276" w:lineRule="auto"/>
        <w:ind w:firstLine="709"/>
        <w:jc w:val="both"/>
        <w:rPr>
          <w:szCs w:val="28"/>
        </w:rPr>
      </w:pPr>
      <w:r w:rsidRPr="0040162A">
        <w:rPr>
          <w:szCs w:val="28"/>
        </w:rPr>
        <w:t xml:space="preserve">Кроме того, должностными лицами органов государственной власти и местного самоуправления совершаются нарушения при проведении обязательных торгов по закону «О защите конкуренции». </w:t>
      </w:r>
    </w:p>
    <w:p w:rsidR="0040162A" w:rsidRPr="0040162A" w:rsidRDefault="0040162A" w:rsidP="006C469D">
      <w:pPr>
        <w:spacing w:line="276" w:lineRule="auto"/>
        <w:ind w:firstLine="709"/>
        <w:jc w:val="both"/>
        <w:rPr>
          <w:szCs w:val="28"/>
        </w:rPr>
      </w:pPr>
      <w:r w:rsidRPr="0040162A">
        <w:rPr>
          <w:szCs w:val="28"/>
        </w:rPr>
        <w:t xml:space="preserve">В 2019 году </w:t>
      </w:r>
      <w:r w:rsidRPr="0009036D">
        <w:rPr>
          <w:b/>
          <w:szCs w:val="28"/>
        </w:rPr>
        <w:t>12 жалоб</w:t>
      </w:r>
      <w:r w:rsidRPr="0040162A">
        <w:rPr>
          <w:szCs w:val="28"/>
        </w:rPr>
        <w:t xml:space="preserve"> на обязательные торги, проведенные органами государственной власти и местного самоуправления, признаны обоснованными. К административной ответственности по статье 7.32.4 привлечено </w:t>
      </w:r>
      <w:r w:rsidRPr="0009036D">
        <w:rPr>
          <w:b/>
          <w:szCs w:val="28"/>
        </w:rPr>
        <w:t>15 должностных лиц</w:t>
      </w:r>
      <w:r w:rsidRPr="0040162A">
        <w:rPr>
          <w:szCs w:val="28"/>
        </w:rPr>
        <w:t xml:space="preserve"> (штрафы в размере от 3 тысяч до 40 тысяч рублей).</w:t>
      </w:r>
    </w:p>
    <w:p w:rsidR="0040162A" w:rsidRPr="0040162A" w:rsidRDefault="0040162A" w:rsidP="006C469D">
      <w:pPr>
        <w:spacing w:line="276" w:lineRule="auto"/>
        <w:ind w:firstLine="709"/>
        <w:jc w:val="both"/>
        <w:rPr>
          <w:szCs w:val="28"/>
        </w:rPr>
      </w:pPr>
      <w:r w:rsidRPr="0040162A">
        <w:rPr>
          <w:szCs w:val="28"/>
        </w:rPr>
        <w:t>В 2019 году наибольшее количество нарушений выявлено в действиях Администрации г. Димитровграда (и органов, наделенных полномочиями органов местного самоуправления в г. Димитровграде), что, в том числе связано с проведенной плановой проверкой, а также большим количеством заявлений, поступающих на действия данного лица.</w:t>
      </w:r>
    </w:p>
    <w:p w:rsidR="0040162A" w:rsidRDefault="0040162A" w:rsidP="006C469D">
      <w:pPr>
        <w:spacing w:line="276" w:lineRule="auto"/>
        <w:ind w:firstLine="709"/>
        <w:jc w:val="both"/>
        <w:rPr>
          <w:szCs w:val="28"/>
        </w:rPr>
      </w:pPr>
      <w:r w:rsidRPr="0040162A">
        <w:rPr>
          <w:szCs w:val="28"/>
        </w:rPr>
        <w:t>Наиболее часто выявляемые нарушения в действиях – предоставление имущества с нарушением статьи 17.1 Закона «О защите конкуренции».</w:t>
      </w:r>
    </w:p>
    <w:p w:rsidR="0009036D" w:rsidRPr="0040162A" w:rsidRDefault="0009036D" w:rsidP="006C469D">
      <w:pPr>
        <w:spacing w:line="276" w:lineRule="auto"/>
        <w:ind w:firstLine="709"/>
        <w:jc w:val="both"/>
        <w:rPr>
          <w:szCs w:val="28"/>
        </w:rPr>
      </w:pPr>
    </w:p>
    <w:p w:rsidR="0040162A" w:rsidRDefault="0040162A" w:rsidP="006C469D">
      <w:pPr>
        <w:spacing w:line="276" w:lineRule="auto"/>
        <w:ind w:firstLine="709"/>
        <w:jc w:val="both"/>
        <w:rPr>
          <w:b/>
          <w:szCs w:val="28"/>
        </w:rPr>
      </w:pPr>
      <w:r w:rsidRPr="0040162A">
        <w:rPr>
          <w:b/>
          <w:szCs w:val="28"/>
        </w:rPr>
        <w:t>Пример нарушения, выявленного в действиях ОМС:</w:t>
      </w:r>
    </w:p>
    <w:p w:rsidR="0009036D" w:rsidRPr="0040162A" w:rsidRDefault="0009036D" w:rsidP="006C469D">
      <w:pPr>
        <w:spacing w:line="276" w:lineRule="auto"/>
        <w:ind w:firstLine="709"/>
        <w:jc w:val="both"/>
        <w:rPr>
          <w:b/>
          <w:szCs w:val="28"/>
        </w:rPr>
      </w:pPr>
    </w:p>
    <w:p w:rsidR="0040162A" w:rsidRPr="0040162A" w:rsidRDefault="0040162A" w:rsidP="006C469D">
      <w:pPr>
        <w:spacing w:line="276" w:lineRule="auto"/>
        <w:ind w:firstLine="709"/>
        <w:jc w:val="both"/>
        <w:rPr>
          <w:szCs w:val="28"/>
        </w:rPr>
      </w:pPr>
      <w:r w:rsidRPr="0040162A">
        <w:rPr>
          <w:szCs w:val="28"/>
        </w:rPr>
        <w:t>В муниципальных образованиях области (Силикатненское городское поселение, Новомайнское городское поселение) выявлены однотипные нарушения, выражающиеся в определении управляющей компании для жилого фонда, в котором в собственности муниципального образования находятся более 50% общей площади дома), что является предоставлением необоснованных преимуществ в осу</w:t>
      </w:r>
      <w:r w:rsidR="0009036D">
        <w:rPr>
          <w:szCs w:val="28"/>
        </w:rPr>
        <w:t xml:space="preserve">ществлении предпринимательской </w:t>
      </w:r>
      <w:r w:rsidRPr="0040162A">
        <w:rPr>
          <w:szCs w:val="28"/>
        </w:rPr>
        <w:t>деятельности.</w:t>
      </w:r>
    </w:p>
    <w:p w:rsidR="0040162A" w:rsidRPr="0040162A" w:rsidRDefault="0040162A" w:rsidP="006C469D">
      <w:pPr>
        <w:spacing w:line="276" w:lineRule="auto"/>
        <w:ind w:firstLine="709"/>
        <w:jc w:val="both"/>
        <w:rPr>
          <w:szCs w:val="28"/>
        </w:rPr>
      </w:pPr>
      <w:r w:rsidRPr="0040162A">
        <w:rPr>
          <w:szCs w:val="28"/>
        </w:rPr>
        <w:t xml:space="preserve">В соответствии с ч. 2 ст. 163 Жилищного кодека Российской Федерации (далее – ЖК РФ) управление многоквартирным домом, в котором </w:t>
      </w:r>
      <w:r w:rsidRPr="0040162A">
        <w:rPr>
          <w:szCs w:val="28"/>
        </w:rPr>
        <w:lastRenderedPageBreak/>
        <w:t>доля Российской Федерации, субъекта Российской Федерации или муниципального образования в праве общей собственности на общее имущество в МКД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ЖК РФ.</w:t>
      </w:r>
    </w:p>
    <w:p w:rsidR="0040162A" w:rsidRPr="0040162A" w:rsidRDefault="0040162A" w:rsidP="006C469D">
      <w:pPr>
        <w:spacing w:line="276" w:lineRule="auto"/>
        <w:ind w:firstLine="709"/>
        <w:jc w:val="both"/>
        <w:rPr>
          <w:szCs w:val="28"/>
        </w:rPr>
      </w:pPr>
      <w:r w:rsidRPr="0040162A">
        <w:rPr>
          <w:szCs w:val="28"/>
        </w:rPr>
        <w:t>Таким образом, в случае, когда собственники помещений не обладают квалифицирующим большинством, выбор способа управления многоквартирным домом, производящийся с участием публичного собственника, осуществляется на основании договора управления данным домом, заключенного с управляющей организацией, выбранной по результатам открытого конкурса.</w:t>
      </w:r>
    </w:p>
    <w:p w:rsidR="0040162A" w:rsidRPr="0040162A" w:rsidRDefault="0040162A" w:rsidP="006C469D">
      <w:pPr>
        <w:spacing w:line="276" w:lineRule="auto"/>
        <w:ind w:firstLine="709"/>
        <w:jc w:val="both"/>
        <w:rPr>
          <w:szCs w:val="28"/>
        </w:rPr>
      </w:pPr>
      <w:r w:rsidRPr="0040162A">
        <w:rPr>
          <w:szCs w:val="28"/>
        </w:rPr>
        <w:t>Любое иное участие публичного образования в управлении многоквартирным домом, например, участие в общем собрании собственников, тождественно самостоятельному принятию решения.  Указанные действия публичного образования свидетельствуют о реализации принадлежащих ему прав в целях поддержки конкретного хозяйствующего субъекта (предоставления преимущества).</w:t>
      </w:r>
    </w:p>
    <w:p w:rsidR="0040162A" w:rsidRDefault="0040162A" w:rsidP="006C469D">
      <w:pPr>
        <w:spacing w:line="276" w:lineRule="auto"/>
        <w:ind w:firstLine="709"/>
        <w:jc w:val="both"/>
        <w:rPr>
          <w:szCs w:val="28"/>
        </w:rPr>
      </w:pPr>
      <w:r w:rsidRPr="0040162A">
        <w:rPr>
          <w:szCs w:val="28"/>
        </w:rPr>
        <w:t>На основании изложенного, Ульяновское УФАС России выдало Администрации МО «Силикатненское городское поселение» Сенгилеевского района Ульяновской области» предупреждения, о необходимости прекращения указанных действий (бездействия) путем проведения открытого конкурса по выбору управляющей организации для управления подобными домами. Во исполнение выданных предупреждений Администрации провели торги н право заключения договора управления вышеуказанными домами.</w:t>
      </w:r>
    </w:p>
    <w:p w:rsidR="0009036D" w:rsidRPr="0040162A" w:rsidRDefault="0009036D" w:rsidP="006C469D">
      <w:pPr>
        <w:spacing w:line="276" w:lineRule="auto"/>
        <w:ind w:firstLine="709"/>
        <w:jc w:val="both"/>
        <w:rPr>
          <w:szCs w:val="28"/>
        </w:rPr>
      </w:pPr>
    </w:p>
    <w:p w:rsidR="0009036D" w:rsidRDefault="0040162A" w:rsidP="006C469D">
      <w:pPr>
        <w:spacing w:line="276" w:lineRule="auto"/>
        <w:ind w:firstLine="709"/>
        <w:jc w:val="both"/>
        <w:rPr>
          <w:b/>
          <w:szCs w:val="28"/>
        </w:rPr>
      </w:pPr>
      <w:r w:rsidRPr="0040162A">
        <w:rPr>
          <w:b/>
          <w:szCs w:val="28"/>
        </w:rPr>
        <w:t xml:space="preserve">В действиях </w:t>
      </w:r>
      <w:r w:rsidR="000759F1">
        <w:rPr>
          <w:b/>
          <w:szCs w:val="28"/>
        </w:rPr>
        <w:t>органов государственной власти и территориальных органов федеральных органов исполнительной власти:</w:t>
      </w:r>
    </w:p>
    <w:p w:rsidR="000759F1" w:rsidRPr="0040162A" w:rsidRDefault="000759F1" w:rsidP="006C469D">
      <w:pPr>
        <w:spacing w:line="276" w:lineRule="auto"/>
        <w:ind w:firstLine="709"/>
        <w:jc w:val="both"/>
        <w:rPr>
          <w:b/>
          <w:szCs w:val="28"/>
        </w:rPr>
      </w:pPr>
    </w:p>
    <w:p w:rsidR="0040162A" w:rsidRPr="0040162A" w:rsidRDefault="0040162A" w:rsidP="006C469D">
      <w:pPr>
        <w:spacing w:line="276" w:lineRule="auto"/>
        <w:ind w:firstLine="709"/>
        <w:jc w:val="both"/>
        <w:rPr>
          <w:szCs w:val="28"/>
        </w:rPr>
      </w:pPr>
      <w:r w:rsidRPr="0040162A">
        <w:rPr>
          <w:szCs w:val="28"/>
        </w:rPr>
        <w:t>Ульяновским УФАС России в 2019 году выданы предупреждения Министерству образования и науки Ульяновской области и Управлению Роспотребнадзора по Ульяновской области.</w:t>
      </w:r>
    </w:p>
    <w:p w:rsidR="0040162A" w:rsidRPr="0040162A" w:rsidRDefault="0040162A" w:rsidP="006C469D">
      <w:pPr>
        <w:spacing w:line="276" w:lineRule="auto"/>
        <w:ind w:firstLine="709"/>
        <w:jc w:val="both"/>
        <w:rPr>
          <w:szCs w:val="28"/>
        </w:rPr>
      </w:pPr>
      <w:r w:rsidRPr="0040162A">
        <w:rPr>
          <w:szCs w:val="28"/>
        </w:rPr>
        <w:t xml:space="preserve">В действиях данных лиц выявлено нарушение п. 2 ч. 1 ст. 15 Федерального закона от 26.07.2006 №135-ФЗ «О защите конкуренции», выразившиеся в установлении не предусмотренных законодательством </w:t>
      </w:r>
      <w:r w:rsidRPr="0040162A">
        <w:rPr>
          <w:szCs w:val="28"/>
        </w:rPr>
        <w:lastRenderedPageBreak/>
        <w:t>Российской Федерации требований к хозяйствующим субъектам, осуществляющим дезинфекционную деятельность.</w:t>
      </w:r>
    </w:p>
    <w:p w:rsidR="0040162A" w:rsidRPr="0040162A" w:rsidRDefault="0040162A" w:rsidP="006C469D">
      <w:pPr>
        <w:spacing w:line="276" w:lineRule="auto"/>
        <w:ind w:firstLine="709"/>
        <w:jc w:val="both"/>
        <w:rPr>
          <w:szCs w:val="28"/>
        </w:rPr>
      </w:pPr>
      <w:r w:rsidRPr="0040162A">
        <w:rPr>
          <w:szCs w:val="28"/>
        </w:rPr>
        <w:t>В Ульяновское УФАС России обратился руководитель одной из компаний, основным видом деятельности которой является дезинфекция, дезинсекция и дератизация зданий и промышленного оборудования. Заявитель сообщил, что Министерство образования и науки Ульяновской области распространило информацию о том, что для осуществления дезинфекционной деятельности, юридические лица, независимо от организационно-правовых форм и форм собственности, должны иметь лицензию на медицинскую деятельность по «дезинфектологии» и иметь в своем штате специалистов с необходимым медицинским образованием.</w:t>
      </w:r>
    </w:p>
    <w:p w:rsidR="0040162A" w:rsidRPr="0040162A" w:rsidRDefault="0040162A" w:rsidP="006C469D">
      <w:pPr>
        <w:spacing w:line="276" w:lineRule="auto"/>
        <w:ind w:firstLine="709"/>
        <w:jc w:val="both"/>
        <w:rPr>
          <w:szCs w:val="28"/>
        </w:rPr>
      </w:pPr>
      <w:r w:rsidRPr="0040162A">
        <w:rPr>
          <w:szCs w:val="28"/>
        </w:rPr>
        <w:t>Аналогичные письма направлялись Управлением Роспотребнадзора по Ульяновской области.</w:t>
      </w:r>
    </w:p>
    <w:p w:rsidR="0040162A" w:rsidRPr="0040162A" w:rsidRDefault="0040162A" w:rsidP="006C469D">
      <w:pPr>
        <w:spacing w:line="276" w:lineRule="auto"/>
        <w:ind w:firstLine="709"/>
        <w:jc w:val="both"/>
        <w:rPr>
          <w:szCs w:val="28"/>
        </w:rPr>
      </w:pPr>
      <w:r w:rsidRPr="0040162A">
        <w:rPr>
          <w:szCs w:val="28"/>
        </w:rPr>
        <w:t>В ходе рассмотрения заявления было установлено, что лицензированию в качестве медицинской деятельности подлежат работы (услуги) по дезинфектологии, выполняемые в рамках оказания медицинской помощи.</w:t>
      </w:r>
    </w:p>
    <w:p w:rsidR="0040162A" w:rsidRPr="0040162A" w:rsidRDefault="0040162A" w:rsidP="006C469D">
      <w:pPr>
        <w:spacing w:line="276" w:lineRule="auto"/>
        <w:ind w:firstLine="709"/>
        <w:jc w:val="both"/>
        <w:rPr>
          <w:szCs w:val="28"/>
        </w:rPr>
      </w:pPr>
      <w:r w:rsidRPr="0040162A">
        <w:rPr>
          <w:szCs w:val="28"/>
        </w:rPr>
        <w:t>Следовательно, при осуществлении дезинфекционной деятельности (в целях обеспечения дезинфекции, дезинсекции, дератизации) вне рамок оказания медицинской помощи необходимость получения лицензии на осуществление медицинской деятельности отсутствует.</w:t>
      </w:r>
    </w:p>
    <w:p w:rsidR="0040162A" w:rsidRPr="0040162A" w:rsidRDefault="0040162A" w:rsidP="006C469D">
      <w:pPr>
        <w:spacing w:line="276" w:lineRule="auto"/>
        <w:ind w:firstLine="709"/>
        <w:jc w:val="both"/>
        <w:rPr>
          <w:szCs w:val="28"/>
        </w:rPr>
      </w:pPr>
      <w:r w:rsidRPr="0040162A">
        <w:rPr>
          <w:szCs w:val="28"/>
        </w:rPr>
        <w:t>В соответствии со ст. 39.1 Федерального закона «О защите конкуренции» Ульяновское УФАС России выдало данным лицам предупреждения о прекращении нарушения путем отзыва писем. Предупреждения исполнены.</w:t>
      </w:r>
    </w:p>
    <w:p w:rsidR="0040162A" w:rsidRPr="0040162A" w:rsidRDefault="0040162A" w:rsidP="006C469D">
      <w:pPr>
        <w:spacing w:line="276" w:lineRule="auto"/>
        <w:ind w:firstLine="709"/>
        <w:jc w:val="both"/>
        <w:rPr>
          <w:b/>
          <w:szCs w:val="28"/>
        </w:rPr>
      </w:pPr>
    </w:p>
    <w:p w:rsidR="0040162A" w:rsidRDefault="0040162A" w:rsidP="006C469D">
      <w:pPr>
        <w:spacing w:line="276" w:lineRule="auto"/>
        <w:ind w:firstLine="709"/>
        <w:jc w:val="both"/>
        <w:rPr>
          <w:b/>
          <w:szCs w:val="28"/>
        </w:rPr>
      </w:pPr>
      <w:r w:rsidRPr="0040162A">
        <w:rPr>
          <w:b/>
          <w:szCs w:val="28"/>
        </w:rPr>
        <w:t xml:space="preserve">Обзор изменений антимонопольного законодательства, </w:t>
      </w:r>
      <w:r w:rsidR="0009036D">
        <w:rPr>
          <w:b/>
          <w:szCs w:val="28"/>
        </w:rPr>
        <w:t>вступающих в силу с 2020 года</w:t>
      </w:r>
    </w:p>
    <w:p w:rsidR="0009036D" w:rsidRPr="0040162A" w:rsidRDefault="0009036D" w:rsidP="006C469D">
      <w:pPr>
        <w:spacing w:line="276" w:lineRule="auto"/>
        <w:ind w:firstLine="709"/>
        <w:jc w:val="both"/>
        <w:rPr>
          <w:b/>
          <w:szCs w:val="28"/>
        </w:rPr>
      </w:pPr>
    </w:p>
    <w:p w:rsidR="0040162A" w:rsidRPr="0040162A" w:rsidRDefault="0040162A" w:rsidP="006C469D">
      <w:pPr>
        <w:spacing w:line="276" w:lineRule="auto"/>
        <w:ind w:firstLine="709"/>
        <w:jc w:val="both"/>
        <w:rPr>
          <w:szCs w:val="28"/>
        </w:rPr>
      </w:pPr>
      <w:r w:rsidRPr="0040162A">
        <w:rPr>
          <w:szCs w:val="28"/>
        </w:rPr>
        <w:t>В рамках проводимой реформы государственных и муниципальных унитарных предприятий в закон «О защите конкуренции» внесен ряд изменений в антимонопольное законодательство (Федеральный закон от 27.12.2019 N 485-ФЗ "О внесении изменений в Федеральный закон "О государственных и муниципальных унитарных предприятиях" и Федеральный закон "О защите конкуренции").</w:t>
      </w:r>
    </w:p>
    <w:p w:rsidR="0040162A" w:rsidRPr="0040162A" w:rsidRDefault="0040162A" w:rsidP="006C469D">
      <w:pPr>
        <w:spacing w:line="276" w:lineRule="auto"/>
        <w:ind w:firstLine="709"/>
        <w:jc w:val="both"/>
        <w:rPr>
          <w:szCs w:val="28"/>
        </w:rPr>
      </w:pPr>
      <w:r w:rsidRPr="0040162A">
        <w:rPr>
          <w:szCs w:val="28"/>
        </w:rPr>
        <w:t xml:space="preserve">В частности, в отдельный состав нарушения статьи 15 Закона «О защите конкуренции выделено «непринятие мер по преобразованию или </w:t>
      </w:r>
      <w:r w:rsidRPr="0040162A">
        <w:rPr>
          <w:szCs w:val="28"/>
        </w:rPr>
        <w:lastRenderedPageBreak/>
        <w:t>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 (п.</w:t>
      </w:r>
      <w:r w:rsidR="0009036D">
        <w:rPr>
          <w:szCs w:val="28"/>
        </w:rPr>
        <w:t xml:space="preserve"> </w:t>
      </w:r>
      <w:r w:rsidRPr="0040162A">
        <w:rPr>
          <w:szCs w:val="28"/>
        </w:rPr>
        <w:t>11 ч.</w:t>
      </w:r>
      <w:r w:rsidR="0009036D">
        <w:rPr>
          <w:szCs w:val="28"/>
        </w:rPr>
        <w:t xml:space="preserve"> </w:t>
      </w:r>
      <w:r w:rsidRPr="0040162A">
        <w:rPr>
          <w:szCs w:val="28"/>
        </w:rPr>
        <w:t>1 ст.</w:t>
      </w:r>
      <w:r w:rsidR="0009036D">
        <w:rPr>
          <w:szCs w:val="28"/>
        </w:rPr>
        <w:t xml:space="preserve"> </w:t>
      </w:r>
      <w:r w:rsidRPr="0040162A">
        <w:rPr>
          <w:szCs w:val="28"/>
        </w:rPr>
        <w:t>15).</w:t>
      </w:r>
    </w:p>
    <w:p w:rsidR="0040162A" w:rsidRPr="0040162A" w:rsidRDefault="0040162A" w:rsidP="006C469D">
      <w:pPr>
        <w:spacing w:line="276" w:lineRule="auto"/>
        <w:ind w:firstLine="709"/>
        <w:jc w:val="both"/>
        <w:rPr>
          <w:szCs w:val="28"/>
        </w:rPr>
      </w:pPr>
      <w:r w:rsidRPr="0040162A">
        <w:rPr>
          <w:szCs w:val="28"/>
        </w:rPr>
        <w:t xml:space="preserve">Антимонопольный орган наделен полномочиями по выдаче предписаний: </w:t>
      </w:r>
    </w:p>
    <w:p w:rsidR="0040162A" w:rsidRPr="0040162A" w:rsidRDefault="0040162A" w:rsidP="006C469D">
      <w:pPr>
        <w:spacing w:line="276" w:lineRule="auto"/>
        <w:ind w:firstLine="709"/>
        <w:jc w:val="both"/>
        <w:rPr>
          <w:szCs w:val="28"/>
        </w:rPr>
      </w:pPr>
      <w:r w:rsidRPr="0040162A">
        <w:rPr>
          <w:szCs w:val="28"/>
        </w:rPr>
        <w:t>- унитарному предприятию о прекращении унитарным предприятием деятельности, которая осуществляется с нарушением требований настоящего Федерального закона;</w:t>
      </w:r>
    </w:p>
    <w:p w:rsidR="0040162A" w:rsidRPr="0040162A" w:rsidRDefault="0040162A" w:rsidP="006C469D">
      <w:pPr>
        <w:spacing w:line="276" w:lineRule="auto"/>
        <w:ind w:firstLine="709"/>
        <w:jc w:val="both"/>
        <w:rPr>
          <w:szCs w:val="28"/>
        </w:rPr>
      </w:pPr>
      <w:r w:rsidRPr="0040162A">
        <w:rPr>
          <w:szCs w:val="28"/>
        </w:rPr>
        <w:t>- органу власти и местного самоуправления:</w:t>
      </w:r>
    </w:p>
    <w:p w:rsidR="0040162A" w:rsidRPr="0040162A" w:rsidRDefault="0040162A" w:rsidP="006C469D">
      <w:pPr>
        <w:spacing w:line="276" w:lineRule="auto"/>
        <w:ind w:firstLine="709"/>
        <w:jc w:val="both"/>
        <w:rPr>
          <w:szCs w:val="28"/>
        </w:rPr>
      </w:pPr>
      <w:r w:rsidRPr="0040162A">
        <w:rPr>
          <w:szCs w:val="28"/>
        </w:rPr>
        <w:t>--</w:t>
      </w:r>
      <w:r w:rsidR="0009036D">
        <w:rPr>
          <w:szCs w:val="28"/>
        </w:rPr>
        <w:t xml:space="preserve"> </w:t>
      </w:r>
      <w:r w:rsidRPr="0040162A">
        <w:rPr>
          <w:szCs w:val="28"/>
        </w:rPr>
        <w:t>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w:t>
      </w:r>
    </w:p>
    <w:p w:rsidR="0040162A" w:rsidRPr="0040162A" w:rsidRDefault="0040162A" w:rsidP="006C469D">
      <w:pPr>
        <w:spacing w:line="276" w:lineRule="auto"/>
        <w:ind w:firstLine="709"/>
        <w:jc w:val="both"/>
        <w:rPr>
          <w:szCs w:val="28"/>
        </w:rPr>
      </w:pPr>
      <w:r w:rsidRPr="0040162A">
        <w:rPr>
          <w:szCs w:val="28"/>
        </w:rPr>
        <w:t>--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40162A" w:rsidRPr="0040162A" w:rsidRDefault="0040162A" w:rsidP="006C469D">
      <w:pPr>
        <w:spacing w:line="276" w:lineRule="auto"/>
        <w:ind w:firstLine="709"/>
        <w:jc w:val="both"/>
        <w:rPr>
          <w:szCs w:val="28"/>
        </w:rPr>
      </w:pPr>
      <w:r w:rsidRPr="0040162A">
        <w:rPr>
          <w:szCs w:val="28"/>
        </w:rPr>
        <w:t>Закон дополнен Главой 7.1. «Антимонопольные требования к созданию унитарных предприятий и осуществлению их деятельности», которой устанавливается запрет на создание унитарных предприятий и осуществление их деятельности на конкурентных рынках (за исключением перечисленных в статье случаях:</w:t>
      </w:r>
    </w:p>
    <w:p w:rsidR="0040162A" w:rsidRPr="0040162A" w:rsidRDefault="0040162A" w:rsidP="006C469D">
      <w:pPr>
        <w:spacing w:line="276" w:lineRule="auto"/>
        <w:ind w:firstLine="709"/>
        <w:jc w:val="both"/>
        <w:rPr>
          <w:szCs w:val="28"/>
        </w:rPr>
      </w:pPr>
      <w:r w:rsidRPr="0040162A">
        <w:rPr>
          <w:szCs w:val="28"/>
        </w:rPr>
        <w:t>1) предусмотренных федеральными законами, актами Президента Российской Федерации или Правительства Российской Федерации;</w:t>
      </w:r>
    </w:p>
    <w:p w:rsidR="0040162A" w:rsidRPr="0040162A" w:rsidRDefault="0040162A" w:rsidP="006C469D">
      <w:pPr>
        <w:spacing w:line="276" w:lineRule="auto"/>
        <w:ind w:firstLine="709"/>
        <w:jc w:val="both"/>
        <w:rPr>
          <w:szCs w:val="28"/>
        </w:rPr>
      </w:pPr>
      <w:r w:rsidRPr="0040162A">
        <w:rPr>
          <w:szCs w:val="28"/>
        </w:rP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w:t>
      </w:r>
      <w:r w:rsidRPr="0040162A">
        <w:rPr>
          <w:szCs w:val="28"/>
        </w:rPr>
        <w:lastRenderedPageBreak/>
        <w:t>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40162A" w:rsidRPr="0040162A" w:rsidRDefault="0040162A" w:rsidP="006C469D">
      <w:pPr>
        <w:spacing w:line="276" w:lineRule="auto"/>
        <w:ind w:firstLine="709"/>
        <w:jc w:val="both"/>
        <w:rPr>
          <w:szCs w:val="28"/>
        </w:rPr>
      </w:pPr>
      <w:r w:rsidRPr="0040162A">
        <w:rPr>
          <w:szCs w:val="28"/>
        </w:rPr>
        <w:t>3) осуществления деятельности в сферах естественных монополий;</w:t>
      </w:r>
    </w:p>
    <w:p w:rsidR="0040162A" w:rsidRPr="0040162A" w:rsidRDefault="0040162A" w:rsidP="006C469D">
      <w:pPr>
        <w:spacing w:line="276" w:lineRule="auto"/>
        <w:ind w:firstLine="709"/>
        <w:jc w:val="both"/>
        <w:rPr>
          <w:szCs w:val="28"/>
        </w:rPr>
      </w:pPr>
      <w:r w:rsidRPr="0040162A">
        <w:rPr>
          <w:szCs w:val="28"/>
        </w:rPr>
        <w:t>4) обеспечения жизнедеятельности населения в районах Крайнего Севера и приравненных к ним местностях;</w:t>
      </w:r>
    </w:p>
    <w:p w:rsidR="0040162A" w:rsidRPr="0040162A" w:rsidRDefault="0040162A" w:rsidP="006C469D">
      <w:pPr>
        <w:spacing w:line="276" w:lineRule="auto"/>
        <w:ind w:firstLine="709"/>
        <w:jc w:val="both"/>
        <w:rPr>
          <w:szCs w:val="28"/>
        </w:rPr>
      </w:pPr>
      <w:r w:rsidRPr="0040162A">
        <w:rPr>
          <w:szCs w:val="28"/>
        </w:rPr>
        <w:t>5) осуществления деятельности в сфере культуры, искусства, кинематографии и сохранения культурных ценностей;</w:t>
      </w:r>
    </w:p>
    <w:p w:rsidR="0040162A" w:rsidRPr="0040162A" w:rsidRDefault="0040162A" w:rsidP="006C469D">
      <w:pPr>
        <w:spacing w:line="276" w:lineRule="auto"/>
        <w:ind w:firstLine="709"/>
        <w:jc w:val="both"/>
        <w:rPr>
          <w:szCs w:val="28"/>
        </w:rPr>
      </w:pPr>
      <w:r w:rsidRPr="0040162A">
        <w:rPr>
          <w:szCs w:val="28"/>
        </w:rPr>
        <w:t>6) осуществления деятельности за пределами территории Российской Федерации;</w:t>
      </w:r>
    </w:p>
    <w:p w:rsidR="0040162A" w:rsidRPr="0040162A" w:rsidRDefault="0040162A" w:rsidP="006C469D">
      <w:pPr>
        <w:spacing w:line="276" w:lineRule="auto"/>
        <w:ind w:firstLine="709"/>
        <w:jc w:val="both"/>
        <w:rPr>
          <w:szCs w:val="28"/>
        </w:rPr>
      </w:pPr>
      <w:r w:rsidRPr="0040162A">
        <w:rPr>
          <w:szCs w:val="28"/>
        </w:rP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40162A" w:rsidRPr="0040162A" w:rsidRDefault="0040162A" w:rsidP="006C469D">
      <w:pPr>
        <w:spacing w:line="276" w:lineRule="auto"/>
        <w:ind w:firstLine="709"/>
        <w:jc w:val="both"/>
        <w:rPr>
          <w:szCs w:val="28"/>
        </w:rPr>
      </w:pPr>
      <w:r w:rsidRPr="0040162A">
        <w:rPr>
          <w:szCs w:val="28"/>
        </w:rPr>
        <w:t>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w:t>
      </w:r>
    </w:p>
    <w:p w:rsidR="0040162A" w:rsidRPr="0040162A" w:rsidRDefault="0040162A" w:rsidP="006C469D">
      <w:pPr>
        <w:spacing w:line="276" w:lineRule="auto"/>
        <w:ind w:firstLine="709"/>
        <w:jc w:val="both"/>
        <w:rPr>
          <w:szCs w:val="28"/>
        </w:rPr>
      </w:pPr>
      <w:r w:rsidRPr="0040162A">
        <w:rPr>
          <w:szCs w:val="28"/>
        </w:rPr>
        <w:t>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частями 1 и 2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40162A" w:rsidRPr="0040162A" w:rsidRDefault="0040162A" w:rsidP="006C469D">
      <w:pPr>
        <w:spacing w:line="276" w:lineRule="auto"/>
        <w:ind w:firstLine="709"/>
        <w:jc w:val="both"/>
        <w:rPr>
          <w:szCs w:val="28"/>
        </w:rPr>
      </w:pPr>
      <w:r w:rsidRPr="0040162A">
        <w:rPr>
          <w:szCs w:val="28"/>
        </w:rPr>
        <w:lastRenderedPageBreak/>
        <w:t xml:space="preserve"> Унитарное предприятие, которое создано или виды деятельности которого изменены с нарушением запрета, предусмотренного частью 1 статьи 35.1 настоящего Федерального закона, и которое не осуществляет виды деятельности, предусмотренные частью 1 статьи 35.1 настоящего Федерального закона, подлежит ликвидации на основании предписания антимонопольного органа, выданного на основании подпункта "д" пункта 3 части 1 статьи 23 настоящего Федерального закона, либо в судебном порядке по иску антимонопольного органа о ликвидации унитарного предприятия.</w:t>
      </w:r>
    </w:p>
    <w:p w:rsidR="0040162A" w:rsidRPr="0040162A" w:rsidRDefault="0040162A" w:rsidP="006C469D">
      <w:pPr>
        <w:spacing w:line="276" w:lineRule="auto"/>
        <w:ind w:firstLine="709"/>
        <w:jc w:val="both"/>
        <w:rPr>
          <w:szCs w:val="28"/>
        </w:rPr>
      </w:pPr>
      <w:r w:rsidRPr="0040162A">
        <w:rPr>
          <w:szCs w:val="28"/>
        </w:rPr>
        <w:t>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40162A" w:rsidRPr="0040162A" w:rsidRDefault="0040162A" w:rsidP="006C469D">
      <w:pPr>
        <w:ind w:firstLine="709"/>
        <w:jc w:val="both"/>
        <w:rPr>
          <w:szCs w:val="28"/>
        </w:rPr>
      </w:pPr>
    </w:p>
    <w:p w:rsidR="0040162A" w:rsidRPr="0040162A" w:rsidRDefault="0040162A" w:rsidP="006C469D">
      <w:pPr>
        <w:ind w:firstLine="709"/>
        <w:jc w:val="both"/>
        <w:rPr>
          <w:szCs w:val="28"/>
        </w:rPr>
      </w:pPr>
    </w:p>
    <w:p w:rsidR="0040162A" w:rsidRPr="0040162A" w:rsidRDefault="0040162A" w:rsidP="006C469D">
      <w:pPr>
        <w:ind w:firstLine="709"/>
        <w:jc w:val="both"/>
        <w:rPr>
          <w:szCs w:val="28"/>
        </w:rPr>
      </w:pPr>
    </w:p>
    <w:p w:rsidR="0040162A" w:rsidRPr="0040162A" w:rsidRDefault="0040162A" w:rsidP="0040162A">
      <w:pPr>
        <w:ind w:firstLine="709"/>
        <w:jc w:val="both"/>
        <w:rPr>
          <w:szCs w:val="28"/>
        </w:rPr>
      </w:pPr>
    </w:p>
    <w:p w:rsidR="0040162A" w:rsidRPr="0040162A" w:rsidRDefault="0040162A" w:rsidP="0040162A">
      <w:pPr>
        <w:rPr>
          <w:szCs w:val="28"/>
        </w:rPr>
      </w:pPr>
    </w:p>
    <w:p w:rsidR="00C453FC" w:rsidRPr="0040162A" w:rsidRDefault="00C453FC" w:rsidP="00C453FC">
      <w:pPr>
        <w:pStyle w:val="Style16"/>
        <w:tabs>
          <w:tab w:val="left" w:pos="284"/>
          <w:tab w:val="left" w:pos="2170"/>
        </w:tabs>
        <w:spacing w:after="120" w:line="240" w:lineRule="auto"/>
        <w:ind w:firstLine="567"/>
        <w:contextualSpacing/>
        <w:rPr>
          <w:sz w:val="28"/>
          <w:szCs w:val="28"/>
        </w:rPr>
      </w:pPr>
    </w:p>
    <w:p w:rsidR="00D96B93" w:rsidRPr="0040162A" w:rsidRDefault="00D96B93" w:rsidP="00F13B44">
      <w:pPr>
        <w:tabs>
          <w:tab w:val="num" w:pos="0"/>
        </w:tabs>
        <w:spacing w:after="100" w:afterAutospacing="1"/>
        <w:ind w:firstLine="851"/>
        <w:jc w:val="both"/>
        <w:rPr>
          <w:b/>
          <w:szCs w:val="28"/>
        </w:rPr>
      </w:pPr>
      <w:r w:rsidRPr="0040162A">
        <w:rPr>
          <w:szCs w:val="28"/>
        </w:rPr>
        <w:br w:type="page"/>
      </w:r>
    </w:p>
    <w:p w:rsidR="0065091D" w:rsidRPr="00F42488" w:rsidRDefault="00B437D2" w:rsidP="00665211">
      <w:pPr>
        <w:pStyle w:val="1"/>
        <w:widowControl w:val="0"/>
        <w:spacing w:line="276" w:lineRule="auto"/>
        <w:rPr>
          <w:sz w:val="32"/>
          <w:u w:val="single"/>
        </w:rPr>
      </w:pPr>
      <w:r w:rsidRPr="00F42488">
        <w:rPr>
          <w:sz w:val="32"/>
          <w:u w:val="single"/>
        </w:rPr>
        <w:lastRenderedPageBreak/>
        <w:t>Раздел 2</w:t>
      </w:r>
      <w:r w:rsidR="0054171D" w:rsidRPr="00F42488">
        <w:rPr>
          <w:sz w:val="32"/>
          <w:u w:val="single"/>
        </w:rPr>
        <w:t xml:space="preserve">. </w:t>
      </w:r>
      <w:r w:rsidR="00421BA3" w:rsidRPr="00F42488">
        <w:rPr>
          <w:sz w:val="32"/>
          <w:u w:val="single"/>
        </w:rPr>
        <w:t>Контроль за соблюдением законодательства о контрактной системе</w:t>
      </w:r>
    </w:p>
    <w:p w:rsidR="008D42F3" w:rsidRPr="00F03BC0" w:rsidRDefault="008D42F3" w:rsidP="008D42F3">
      <w:pPr>
        <w:pStyle w:val="a5"/>
        <w:widowControl w:val="0"/>
        <w:rPr>
          <w:sz w:val="24"/>
          <w:szCs w:val="24"/>
        </w:rPr>
      </w:pPr>
    </w:p>
    <w:p w:rsidR="008D42F3" w:rsidRPr="008D42F3" w:rsidRDefault="008D42F3" w:rsidP="008D42F3">
      <w:pPr>
        <w:pStyle w:val="a5"/>
        <w:widowControl w:val="0"/>
        <w:jc w:val="center"/>
        <w:rPr>
          <w:b/>
          <w:u w:val="single"/>
        </w:rPr>
      </w:pPr>
      <w:r w:rsidRPr="008D42F3">
        <w:rPr>
          <w:b/>
          <w:u w:val="single"/>
        </w:rPr>
        <w:t xml:space="preserve">Контроль за соблюдением законодательства о контрактной системе </w:t>
      </w:r>
    </w:p>
    <w:p w:rsidR="008D42F3" w:rsidRPr="00F00742" w:rsidRDefault="008D42F3" w:rsidP="008D42F3">
      <w:pPr>
        <w:tabs>
          <w:tab w:val="left" w:pos="7965"/>
        </w:tabs>
        <w:ind w:firstLine="709"/>
        <w:rPr>
          <w:b/>
          <w:sz w:val="32"/>
          <w:szCs w:val="28"/>
        </w:rPr>
      </w:pPr>
      <w:r w:rsidRPr="00F00742">
        <w:rPr>
          <w:b/>
          <w:sz w:val="32"/>
          <w:szCs w:val="28"/>
        </w:rPr>
        <w:tab/>
      </w:r>
    </w:p>
    <w:p w:rsidR="00686B03" w:rsidRPr="00F00742" w:rsidRDefault="00686B03" w:rsidP="00686B03">
      <w:pPr>
        <w:jc w:val="center"/>
        <w:rPr>
          <w:rFonts w:eastAsia="Calibri"/>
          <w:b/>
          <w:szCs w:val="24"/>
        </w:rPr>
      </w:pPr>
      <w:r w:rsidRPr="00F00742">
        <w:rPr>
          <w:rFonts w:eastAsia="Calibri"/>
          <w:b/>
          <w:szCs w:val="24"/>
        </w:rPr>
        <w:t xml:space="preserve">Сравнительная таблица итогов работы Ульяновского УФАС России </w:t>
      </w:r>
    </w:p>
    <w:p w:rsidR="00686B03" w:rsidRPr="00F00742" w:rsidRDefault="00686B03" w:rsidP="00F00742">
      <w:pPr>
        <w:jc w:val="center"/>
        <w:rPr>
          <w:rFonts w:eastAsia="Calibri"/>
          <w:b/>
          <w:szCs w:val="24"/>
        </w:rPr>
      </w:pPr>
      <w:r w:rsidRPr="00F00742">
        <w:rPr>
          <w:rFonts w:eastAsia="Calibri"/>
          <w:b/>
          <w:szCs w:val="24"/>
        </w:rPr>
        <w:t xml:space="preserve">в сфере закупок </w:t>
      </w:r>
      <w:r w:rsidRPr="00861E77">
        <w:rPr>
          <w:rFonts w:eastAsia="Calibri"/>
          <w:b/>
          <w:szCs w:val="24"/>
        </w:rPr>
        <w:t xml:space="preserve">за </w:t>
      </w:r>
      <w:r w:rsidRPr="00B7064D">
        <w:rPr>
          <w:rFonts w:eastAsia="Calibri"/>
          <w:b/>
          <w:szCs w:val="24"/>
          <w:u w:val="single"/>
        </w:rPr>
        <w:t>201</w:t>
      </w:r>
      <w:r w:rsidR="00861E77">
        <w:rPr>
          <w:rFonts w:eastAsia="Calibri"/>
          <w:b/>
          <w:szCs w:val="24"/>
          <w:u w:val="single"/>
        </w:rPr>
        <w:t>7</w:t>
      </w:r>
      <w:r w:rsidR="00F00742" w:rsidRPr="00B7064D">
        <w:rPr>
          <w:rFonts w:eastAsia="Calibri"/>
          <w:b/>
          <w:szCs w:val="24"/>
          <w:u w:val="single"/>
        </w:rPr>
        <w:t xml:space="preserve"> – </w:t>
      </w:r>
      <w:r w:rsidRPr="00B7064D">
        <w:rPr>
          <w:rFonts w:eastAsia="Calibri"/>
          <w:b/>
          <w:szCs w:val="24"/>
          <w:u w:val="single"/>
        </w:rPr>
        <w:t>2019 год</w:t>
      </w:r>
    </w:p>
    <w:p w:rsidR="00686B03" w:rsidRPr="003768B7" w:rsidRDefault="00686B03" w:rsidP="00686B03">
      <w:pPr>
        <w:jc w:val="center"/>
        <w:rPr>
          <w:rFonts w:eastAsia="Calibri"/>
          <w:b/>
          <w:sz w:val="24"/>
          <w:szCs w:val="24"/>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2052"/>
        <w:gridCol w:w="2126"/>
        <w:gridCol w:w="2092"/>
      </w:tblGrid>
      <w:tr w:rsidR="00263EE9" w:rsidRPr="00A552F3" w:rsidTr="00C97B2C">
        <w:trPr>
          <w:jc w:val="center"/>
        </w:trPr>
        <w:tc>
          <w:tcPr>
            <w:tcW w:w="3193" w:type="dxa"/>
            <w:shd w:val="clear" w:color="auto" w:fill="auto"/>
          </w:tcPr>
          <w:p w:rsidR="00263EE9" w:rsidRPr="00A552F3" w:rsidRDefault="00263EE9" w:rsidP="00493A8B">
            <w:pPr>
              <w:jc w:val="center"/>
              <w:rPr>
                <w:rFonts w:eastAsia="Calibri"/>
                <w:b/>
                <w:sz w:val="26"/>
                <w:szCs w:val="26"/>
              </w:rPr>
            </w:pPr>
          </w:p>
        </w:tc>
        <w:tc>
          <w:tcPr>
            <w:tcW w:w="2052" w:type="dxa"/>
            <w:vAlign w:val="center"/>
          </w:tcPr>
          <w:p w:rsidR="00263EE9" w:rsidRPr="00A552F3" w:rsidRDefault="00263EE9" w:rsidP="00493A8B">
            <w:pPr>
              <w:jc w:val="center"/>
              <w:rPr>
                <w:rFonts w:eastAsia="Calibri"/>
                <w:b/>
                <w:sz w:val="26"/>
                <w:szCs w:val="26"/>
              </w:rPr>
            </w:pPr>
            <w:r w:rsidRPr="00A552F3">
              <w:rPr>
                <w:rFonts w:eastAsia="Calibri"/>
                <w:b/>
                <w:sz w:val="26"/>
                <w:szCs w:val="26"/>
              </w:rPr>
              <w:t>2017 год</w:t>
            </w:r>
          </w:p>
        </w:tc>
        <w:tc>
          <w:tcPr>
            <w:tcW w:w="2126" w:type="dxa"/>
            <w:vAlign w:val="center"/>
          </w:tcPr>
          <w:p w:rsidR="00263EE9" w:rsidRPr="00A552F3" w:rsidRDefault="00263EE9" w:rsidP="00493A8B">
            <w:pPr>
              <w:jc w:val="center"/>
              <w:rPr>
                <w:rFonts w:eastAsia="Calibri"/>
                <w:b/>
                <w:sz w:val="26"/>
                <w:szCs w:val="26"/>
              </w:rPr>
            </w:pPr>
            <w:r w:rsidRPr="00A552F3">
              <w:rPr>
                <w:rFonts w:eastAsia="Calibri"/>
                <w:b/>
                <w:sz w:val="26"/>
                <w:szCs w:val="26"/>
              </w:rPr>
              <w:t>2018 год</w:t>
            </w:r>
          </w:p>
        </w:tc>
        <w:tc>
          <w:tcPr>
            <w:tcW w:w="2092" w:type="dxa"/>
            <w:shd w:val="clear" w:color="auto" w:fill="auto"/>
            <w:vAlign w:val="center"/>
          </w:tcPr>
          <w:p w:rsidR="00263EE9" w:rsidRPr="00A552F3" w:rsidRDefault="00263EE9" w:rsidP="00493A8B">
            <w:pPr>
              <w:jc w:val="center"/>
              <w:rPr>
                <w:rFonts w:eastAsia="Calibri"/>
                <w:b/>
                <w:sz w:val="26"/>
                <w:szCs w:val="26"/>
              </w:rPr>
            </w:pPr>
            <w:r w:rsidRPr="00A552F3">
              <w:rPr>
                <w:rFonts w:eastAsia="Calibri"/>
                <w:b/>
                <w:sz w:val="26"/>
                <w:szCs w:val="26"/>
              </w:rPr>
              <w:t>2019 год</w:t>
            </w:r>
          </w:p>
        </w:tc>
      </w:tr>
      <w:tr w:rsidR="00263EE9" w:rsidRPr="00A552F3" w:rsidTr="00C97B2C">
        <w:trPr>
          <w:jc w:val="center"/>
        </w:trPr>
        <w:tc>
          <w:tcPr>
            <w:tcW w:w="3193" w:type="dxa"/>
            <w:shd w:val="clear" w:color="auto" w:fill="auto"/>
          </w:tcPr>
          <w:p w:rsidR="00263EE9" w:rsidRPr="00A552F3" w:rsidRDefault="00263EE9" w:rsidP="00493A8B">
            <w:pPr>
              <w:rPr>
                <w:rFonts w:eastAsia="Calibri"/>
                <w:b/>
                <w:sz w:val="26"/>
                <w:szCs w:val="26"/>
              </w:rPr>
            </w:pPr>
            <w:r w:rsidRPr="00A552F3">
              <w:rPr>
                <w:rFonts w:eastAsia="Calibri"/>
                <w:b/>
                <w:sz w:val="26"/>
                <w:szCs w:val="26"/>
              </w:rPr>
              <w:t>Поступило жалоб</w:t>
            </w:r>
            <w:r w:rsidRPr="00A552F3">
              <w:rPr>
                <w:rFonts w:eastAsia="Calibri"/>
                <w:sz w:val="26"/>
                <w:szCs w:val="26"/>
              </w:rPr>
              <w:t>, из них:</w:t>
            </w:r>
          </w:p>
        </w:tc>
        <w:tc>
          <w:tcPr>
            <w:tcW w:w="2052" w:type="dxa"/>
            <w:vAlign w:val="center"/>
          </w:tcPr>
          <w:p w:rsidR="00263EE9" w:rsidRPr="00A552F3" w:rsidRDefault="00861E77" w:rsidP="00493A8B">
            <w:pPr>
              <w:jc w:val="center"/>
              <w:rPr>
                <w:rFonts w:eastAsia="Calibri"/>
                <w:b/>
                <w:sz w:val="26"/>
                <w:szCs w:val="26"/>
              </w:rPr>
            </w:pPr>
            <w:r w:rsidRPr="00A552F3">
              <w:rPr>
                <w:rFonts w:eastAsia="Calibri"/>
                <w:b/>
                <w:sz w:val="26"/>
                <w:szCs w:val="26"/>
              </w:rPr>
              <w:t>324</w:t>
            </w:r>
          </w:p>
        </w:tc>
        <w:tc>
          <w:tcPr>
            <w:tcW w:w="2126" w:type="dxa"/>
            <w:vAlign w:val="center"/>
          </w:tcPr>
          <w:p w:rsidR="00263EE9" w:rsidRPr="00A552F3" w:rsidRDefault="00263EE9" w:rsidP="00493A8B">
            <w:pPr>
              <w:jc w:val="center"/>
              <w:rPr>
                <w:rFonts w:eastAsia="Calibri"/>
                <w:b/>
                <w:sz w:val="26"/>
                <w:szCs w:val="26"/>
              </w:rPr>
            </w:pPr>
            <w:r w:rsidRPr="00A552F3">
              <w:rPr>
                <w:rFonts w:eastAsia="Calibri"/>
                <w:b/>
                <w:sz w:val="26"/>
                <w:szCs w:val="26"/>
              </w:rPr>
              <w:t>320</w:t>
            </w:r>
          </w:p>
        </w:tc>
        <w:tc>
          <w:tcPr>
            <w:tcW w:w="2092" w:type="dxa"/>
            <w:shd w:val="clear" w:color="auto" w:fill="auto"/>
            <w:vAlign w:val="center"/>
          </w:tcPr>
          <w:p w:rsidR="00263EE9" w:rsidRPr="00A552F3" w:rsidRDefault="00263EE9" w:rsidP="00493A8B">
            <w:pPr>
              <w:jc w:val="center"/>
              <w:rPr>
                <w:rFonts w:eastAsia="Calibri"/>
                <w:b/>
                <w:sz w:val="26"/>
                <w:szCs w:val="26"/>
              </w:rPr>
            </w:pPr>
            <w:r w:rsidRPr="00A552F3">
              <w:rPr>
                <w:rFonts w:eastAsia="Calibri"/>
                <w:b/>
                <w:sz w:val="26"/>
                <w:szCs w:val="26"/>
              </w:rPr>
              <w:t>309</w:t>
            </w:r>
          </w:p>
        </w:tc>
      </w:tr>
      <w:tr w:rsidR="00263EE9" w:rsidRPr="00A552F3" w:rsidTr="00C97B2C">
        <w:trPr>
          <w:jc w:val="center"/>
        </w:trPr>
        <w:tc>
          <w:tcPr>
            <w:tcW w:w="3193" w:type="dxa"/>
            <w:shd w:val="clear" w:color="auto" w:fill="auto"/>
          </w:tcPr>
          <w:p w:rsidR="00263EE9" w:rsidRPr="00A552F3" w:rsidRDefault="00263EE9" w:rsidP="00493A8B">
            <w:pPr>
              <w:rPr>
                <w:rFonts w:eastAsia="Calibri"/>
                <w:sz w:val="26"/>
                <w:szCs w:val="26"/>
              </w:rPr>
            </w:pPr>
            <w:r w:rsidRPr="00A552F3">
              <w:rPr>
                <w:rFonts w:eastAsia="Calibri"/>
                <w:sz w:val="26"/>
                <w:szCs w:val="26"/>
              </w:rPr>
              <w:t>возвращено</w:t>
            </w:r>
          </w:p>
        </w:tc>
        <w:tc>
          <w:tcPr>
            <w:tcW w:w="2052" w:type="dxa"/>
            <w:vAlign w:val="center"/>
          </w:tcPr>
          <w:p w:rsidR="00263EE9" w:rsidRPr="00A552F3" w:rsidRDefault="00C50EC5" w:rsidP="00493A8B">
            <w:pPr>
              <w:jc w:val="center"/>
              <w:rPr>
                <w:rFonts w:eastAsia="Calibri"/>
                <w:color w:val="000000"/>
                <w:sz w:val="26"/>
                <w:szCs w:val="26"/>
              </w:rPr>
            </w:pPr>
            <w:r w:rsidRPr="00A552F3">
              <w:rPr>
                <w:rFonts w:eastAsia="Calibri"/>
                <w:color w:val="000000"/>
                <w:sz w:val="26"/>
                <w:szCs w:val="26"/>
              </w:rPr>
              <w:t>35</w:t>
            </w:r>
          </w:p>
        </w:tc>
        <w:tc>
          <w:tcPr>
            <w:tcW w:w="2126" w:type="dxa"/>
            <w:vAlign w:val="center"/>
          </w:tcPr>
          <w:p w:rsidR="00263EE9" w:rsidRPr="00A552F3" w:rsidRDefault="00263EE9" w:rsidP="00493A8B">
            <w:pPr>
              <w:jc w:val="center"/>
              <w:rPr>
                <w:rFonts w:eastAsia="Calibri"/>
                <w:color w:val="000000"/>
                <w:sz w:val="26"/>
                <w:szCs w:val="26"/>
              </w:rPr>
            </w:pPr>
            <w:r w:rsidRPr="00A552F3">
              <w:rPr>
                <w:rFonts w:eastAsia="Calibri"/>
                <w:color w:val="000000"/>
                <w:sz w:val="26"/>
                <w:szCs w:val="26"/>
              </w:rPr>
              <w:t xml:space="preserve">27 </w:t>
            </w:r>
          </w:p>
        </w:tc>
        <w:tc>
          <w:tcPr>
            <w:tcW w:w="2092" w:type="dxa"/>
            <w:shd w:val="clear" w:color="auto" w:fill="auto"/>
            <w:vAlign w:val="center"/>
          </w:tcPr>
          <w:p w:rsidR="00263EE9" w:rsidRPr="00A552F3" w:rsidRDefault="00263EE9" w:rsidP="00493A8B">
            <w:pPr>
              <w:jc w:val="center"/>
              <w:rPr>
                <w:rFonts w:eastAsia="Calibri"/>
                <w:sz w:val="26"/>
                <w:szCs w:val="26"/>
              </w:rPr>
            </w:pPr>
            <w:r w:rsidRPr="00A552F3">
              <w:rPr>
                <w:rFonts w:eastAsia="Calibri"/>
                <w:sz w:val="26"/>
                <w:szCs w:val="26"/>
              </w:rPr>
              <w:t>50</w:t>
            </w:r>
          </w:p>
        </w:tc>
      </w:tr>
      <w:tr w:rsidR="00263EE9" w:rsidRPr="00A552F3" w:rsidTr="00C97B2C">
        <w:trPr>
          <w:jc w:val="center"/>
        </w:trPr>
        <w:tc>
          <w:tcPr>
            <w:tcW w:w="3193" w:type="dxa"/>
            <w:shd w:val="clear" w:color="auto" w:fill="auto"/>
          </w:tcPr>
          <w:p w:rsidR="00263EE9" w:rsidRPr="00A552F3" w:rsidRDefault="00263EE9" w:rsidP="00493A8B">
            <w:pPr>
              <w:rPr>
                <w:rFonts w:eastAsia="Calibri"/>
                <w:sz w:val="26"/>
                <w:szCs w:val="26"/>
              </w:rPr>
            </w:pPr>
            <w:r w:rsidRPr="00A552F3">
              <w:rPr>
                <w:rFonts w:eastAsia="Calibri"/>
                <w:sz w:val="26"/>
                <w:szCs w:val="26"/>
              </w:rPr>
              <w:t>отозвано</w:t>
            </w:r>
          </w:p>
        </w:tc>
        <w:tc>
          <w:tcPr>
            <w:tcW w:w="2052" w:type="dxa"/>
            <w:vAlign w:val="center"/>
          </w:tcPr>
          <w:p w:rsidR="00263EE9" w:rsidRPr="00A552F3" w:rsidRDefault="00C50EC5" w:rsidP="00493A8B">
            <w:pPr>
              <w:jc w:val="center"/>
              <w:rPr>
                <w:rFonts w:eastAsia="Calibri"/>
                <w:color w:val="000000"/>
                <w:sz w:val="26"/>
                <w:szCs w:val="26"/>
              </w:rPr>
            </w:pPr>
            <w:r w:rsidRPr="00A552F3">
              <w:rPr>
                <w:rFonts w:eastAsia="Calibri"/>
                <w:color w:val="000000"/>
                <w:sz w:val="26"/>
                <w:szCs w:val="26"/>
              </w:rPr>
              <w:t>45</w:t>
            </w:r>
          </w:p>
        </w:tc>
        <w:tc>
          <w:tcPr>
            <w:tcW w:w="2126" w:type="dxa"/>
            <w:vAlign w:val="center"/>
          </w:tcPr>
          <w:p w:rsidR="00263EE9" w:rsidRPr="00A552F3" w:rsidRDefault="00263EE9" w:rsidP="00493A8B">
            <w:pPr>
              <w:jc w:val="center"/>
              <w:rPr>
                <w:rFonts w:eastAsia="Calibri"/>
                <w:color w:val="000000"/>
                <w:sz w:val="26"/>
                <w:szCs w:val="26"/>
              </w:rPr>
            </w:pPr>
            <w:r w:rsidRPr="00A552F3">
              <w:rPr>
                <w:rFonts w:eastAsia="Calibri"/>
                <w:color w:val="000000"/>
                <w:sz w:val="26"/>
                <w:szCs w:val="26"/>
              </w:rPr>
              <w:t xml:space="preserve">29 </w:t>
            </w:r>
          </w:p>
        </w:tc>
        <w:tc>
          <w:tcPr>
            <w:tcW w:w="2092" w:type="dxa"/>
            <w:shd w:val="clear" w:color="auto" w:fill="auto"/>
            <w:vAlign w:val="center"/>
          </w:tcPr>
          <w:p w:rsidR="00263EE9" w:rsidRPr="00A552F3" w:rsidRDefault="00263EE9" w:rsidP="00493A8B">
            <w:pPr>
              <w:jc w:val="center"/>
              <w:rPr>
                <w:rFonts w:eastAsia="Calibri"/>
                <w:sz w:val="26"/>
                <w:szCs w:val="26"/>
              </w:rPr>
            </w:pPr>
            <w:r w:rsidRPr="00A552F3">
              <w:rPr>
                <w:rFonts w:eastAsia="Calibri"/>
                <w:sz w:val="26"/>
                <w:szCs w:val="26"/>
              </w:rPr>
              <w:t>14</w:t>
            </w:r>
          </w:p>
        </w:tc>
      </w:tr>
      <w:tr w:rsidR="00263EE9" w:rsidRPr="00A552F3" w:rsidTr="00C97B2C">
        <w:trPr>
          <w:jc w:val="center"/>
        </w:trPr>
        <w:tc>
          <w:tcPr>
            <w:tcW w:w="3193" w:type="dxa"/>
            <w:shd w:val="clear" w:color="auto" w:fill="auto"/>
          </w:tcPr>
          <w:p w:rsidR="00263EE9" w:rsidRPr="00A552F3" w:rsidRDefault="00263EE9" w:rsidP="00493A8B">
            <w:pPr>
              <w:rPr>
                <w:rFonts w:eastAsia="Calibri"/>
                <w:sz w:val="26"/>
                <w:szCs w:val="26"/>
              </w:rPr>
            </w:pPr>
            <w:r w:rsidRPr="00A552F3">
              <w:rPr>
                <w:rFonts w:eastAsia="Calibri"/>
                <w:sz w:val="26"/>
                <w:szCs w:val="26"/>
              </w:rPr>
              <w:t xml:space="preserve">обоснованные </w:t>
            </w:r>
          </w:p>
        </w:tc>
        <w:tc>
          <w:tcPr>
            <w:tcW w:w="2052" w:type="dxa"/>
            <w:vAlign w:val="center"/>
          </w:tcPr>
          <w:p w:rsidR="00263EE9" w:rsidRPr="00A552F3" w:rsidRDefault="00861E77" w:rsidP="00493A8B">
            <w:pPr>
              <w:jc w:val="center"/>
              <w:rPr>
                <w:rFonts w:eastAsia="Calibri"/>
                <w:sz w:val="26"/>
                <w:szCs w:val="26"/>
              </w:rPr>
            </w:pPr>
            <w:r w:rsidRPr="00A552F3">
              <w:rPr>
                <w:rFonts w:eastAsia="Calibri"/>
                <w:sz w:val="26"/>
                <w:szCs w:val="26"/>
              </w:rPr>
              <w:t>80</w:t>
            </w:r>
          </w:p>
        </w:tc>
        <w:tc>
          <w:tcPr>
            <w:tcW w:w="2126" w:type="dxa"/>
            <w:vAlign w:val="center"/>
          </w:tcPr>
          <w:p w:rsidR="00263EE9" w:rsidRPr="00A552F3" w:rsidRDefault="00263EE9" w:rsidP="00493A8B">
            <w:pPr>
              <w:jc w:val="center"/>
              <w:rPr>
                <w:rFonts w:eastAsia="Calibri"/>
                <w:sz w:val="26"/>
                <w:szCs w:val="26"/>
              </w:rPr>
            </w:pPr>
            <w:r w:rsidRPr="00A552F3">
              <w:rPr>
                <w:rFonts w:eastAsia="Calibri"/>
                <w:sz w:val="26"/>
                <w:szCs w:val="26"/>
              </w:rPr>
              <w:t xml:space="preserve">68 </w:t>
            </w:r>
          </w:p>
        </w:tc>
        <w:tc>
          <w:tcPr>
            <w:tcW w:w="2092" w:type="dxa"/>
            <w:shd w:val="clear" w:color="auto" w:fill="auto"/>
            <w:vAlign w:val="center"/>
          </w:tcPr>
          <w:p w:rsidR="00263EE9" w:rsidRPr="00A552F3" w:rsidRDefault="00263EE9" w:rsidP="00493A8B">
            <w:pPr>
              <w:jc w:val="center"/>
              <w:rPr>
                <w:rFonts w:eastAsia="Calibri"/>
                <w:sz w:val="26"/>
                <w:szCs w:val="26"/>
              </w:rPr>
            </w:pPr>
            <w:r w:rsidRPr="00A552F3">
              <w:rPr>
                <w:rFonts w:eastAsia="Calibri"/>
                <w:sz w:val="26"/>
                <w:szCs w:val="26"/>
              </w:rPr>
              <w:t>68</w:t>
            </w:r>
          </w:p>
        </w:tc>
      </w:tr>
      <w:tr w:rsidR="00263EE9" w:rsidRPr="00A552F3" w:rsidTr="00C97B2C">
        <w:trPr>
          <w:jc w:val="center"/>
        </w:trPr>
        <w:tc>
          <w:tcPr>
            <w:tcW w:w="3193" w:type="dxa"/>
            <w:shd w:val="clear" w:color="auto" w:fill="auto"/>
          </w:tcPr>
          <w:p w:rsidR="00263EE9" w:rsidRPr="00A552F3" w:rsidRDefault="00263EE9" w:rsidP="00493A8B">
            <w:pPr>
              <w:rPr>
                <w:rFonts w:eastAsia="Calibri"/>
                <w:sz w:val="26"/>
                <w:szCs w:val="26"/>
              </w:rPr>
            </w:pPr>
            <w:r w:rsidRPr="00A552F3">
              <w:rPr>
                <w:rFonts w:eastAsia="Calibri"/>
                <w:sz w:val="26"/>
                <w:szCs w:val="26"/>
              </w:rPr>
              <w:t xml:space="preserve">необоснованные </w:t>
            </w:r>
          </w:p>
        </w:tc>
        <w:tc>
          <w:tcPr>
            <w:tcW w:w="2052" w:type="dxa"/>
            <w:vAlign w:val="center"/>
          </w:tcPr>
          <w:p w:rsidR="00263EE9" w:rsidRPr="00A552F3" w:rsidRDefault="00861E77" w:rsidP="00493A8B">
            <w:pPr>
              <w:jc w:val="center"/>
              <w:rPr>
                <w:rFonts w:eastAsia="Calibri"/>
                <w:sz w:val="26"/>
                <w:szCs w:val="26"/>
              </w:rPr>
            </w:pPr>
            <w:r w:rsidRPr="00A552F3">
              <w:rPr>
                <w:rFonts w:eastAsia="Calibri"/>
                <w:sz w:val="26"/>
                <w:szCs w:val="26"/>
              </w:rPr>
              <w:t>164</w:t>
            </w:r>
          </w:p>
        </w:tc>
        <w:tc>
          <w:tcPr>
            <w:tcW w:w="2126" w:type="dxa"/>
            <w:vAlign w:val="center"/>
          </w:tcPr>
          <w:p w:rsidR="00263EE9" w:rsidRPr="00A552F3" w:rsidRDefault="00263EE9" w:rsidP="00493A8B">
            <w:pPr>
              <w:jc w:val="center"/>
              <w:rPr>
                <w:rFonts w:eastAsia="Calibri"/>
                <w:sz w:val="26"/>
                <w:szCs w:val="26"/>
              </w:rPr>
            </w:pPr>
            <w:r w:rsidRPr="00A552F3">
              <w:rPr>
                <w:rFonts w:eastAsia="Calibri"/>
                <w:sz w:val="26"/>
                <w:szCs w:val="26"/>
              </w:rPr>
              <w:t xml:space="preserve">196 </w:t>
            </w:r>
          </w:p>
        </w:tc>
        <w:tc>
          <w:tcPr>
            <w:tcW w:w="2092" w:type="dxa"/>
            <w:shd w:val="clear" w:color="auto" w:fill="auto"/>
            <w:vAlign w:val="center"/>
          </w:tcPr>
          <w:p w:rsidR="00263EE9" w:rsidRPr="00A552F3" w:rsidRDefault="00263EE9" w:rsidP="00493A8B">
            <w:pPr>
              <w:jc w:val="center"/>
              <w:rPr>
                <w:rFonts w:eastAsia="Calibri"/>
                <w:sz w:val="26"/>
                <w:szCs w:val="26"/>
              </w:rPr>
            </w:pPr>
            <w:r w:rsidRPr="00A552F3">
              <w:rPr>
                <w:rFonts w:eastAsia="Calibri"/>
                <w:sz w:val="26"/>
                <w:szCs w:val="26"/>
              </w:rPr>
              <w:t>177</w:t>
            </w:r>
          </w:p>
        </w:tc>
      </w:tr>
      <w:tr w:rsidR="00263EE9" w:rsidRPr="00A552F3" w:rsidTr="00C50EC5">
        <w:trPr>
          <w:jc w:val="center"/>
        </w:trPr>
        <w:tc>
          <w:tcPr>
            <w:tcW w:w="3193" w:type="dxa"/>
            <w:shd w:val="clear" w:color="auto" w:fill="auto"/>
            <w:vAlign w:val="center"/>
          </w:tcPr>
          <w:p w:rsidR="00263EE9" w:rsidRPr="00A552F3" w:rsidRDefault="00263EE9" w:rsidP="00493A8B">
            <w:pPr>
              <w:rPr>
                <w:rFonts w:eastAsia="Calibri"/>
                <w:b/>
                <w:sz w:val="26"/>
                <w:szCs w:val="26"/>
              </w:rPr>
            </w:pPr>
            <w:r w:rsidRPr="00A552F3">
              <w:rPr>
                <w:rFonts w:eastAsia="Calibri"/>
                <w:b/>
                <w:sz w:val="26"/>
                <w:szCs w:val="26"/>
              </w:rPr>
              <w:t xml:space="preserve">Проведено проверок </w:t>
            </w:r>
          </w:p>
        </w:tc>
        <w:tc>
          <w:tcPr>
            <w:tcW w:w="2052" w:type="dxa"/>
            <w:vAlign w:val="center"/>
          </w:tcPr>
          <w:p w:rsidR="00861E77" w:rsidRPr="00A552F3" w:rsidRDefault="00861E77" w:rsidP="00861E77">
            <w:pPr>
              <w:jc w:val="center"/>
              <w:rPr>
                <w:rFonts w:eastAsia="Calibri"/>
                <w:b/>
                <w:sz w:val="26"/>
                <w:szCs w:val="26"/>
              </w:rPr>
            </w:pPr>
            <w:r w:rsidRPr="00A552F3">
              <w:rPr>
                <w:rFonts w:eastAsia="Calibri"/>
                <w:b/>
                <w:sz w:val="26"/>
                <w:szCs w:val="26"/>
              </w:rPr>
              <w:t>24</w:t>
            </w:r>
          </w:p>
          <w:p w:rsidR="00263EE9" w:rsidRPr="00A552F3" w:rsidRDefault="00861E77" w:rsidP="00861E77">
            <w:pPr>
              <w:jc w:val="center"/>
              <w:rPr>
                <w:rFonts w:eastAsia="Calibri"/>
                <w:b/>
                <w:sz w:val="26"/>
                <w:szCs w:val="26"/>
              </w:rPr>
            </w:pPr>
            <w:r w:rsidRPr="00A552F3">
              <w:rPr>
                <w:rFonts w:eastAsia="Calibri"/>
                <w:sz w:val="26"/>
                <w:szCs w:val="26"/>
              </w:rPr>
              <w:t>(из них 4 плановые)</w:t>
            </w:r>
          </w:p>
        </w:tc>
        <w:tc>
          <w:tcPr>
            <w:tcW w:w="2126" w:type="dxa"/>
            <w:vAlign w:val="center"/>
          </w:tcPr>
          <w:p w:rsidR="00263EE9" w:rsidRPr="00A552F3" w:rsidRDefault="00263EE9" w:rsidP="00493A8B">
            <w:pPr>
              <w:jc w:val="center"/>
              <w:rPr>
                <w:rFonts w:eastAsia="Calibri"/>
                <w:b/>
                <w:sz w:val="26"/>
                <w:szCs w:val="26"/>
              </w:rPr>
            </w:pPr>
            <w:r w:rsidRPr="00A552F3">
              <w:rPr>
                <w:rFonts w:eastAsia="Calibri"/>
                <w:b/>
                <w:sz w:val="26"/>
                <w:szCs w:val="26"/>
              </w:rPr>
              <w:t>12</w:t>
            </w:r>
          </w:p>
          <w:p w:rsidR="00263EE9" w:rsidRPr="00A552F3" w:rsidRDefault="00263EE9" w:rsidP="00493A8B">
            <w:pPr>
              <w:jc w:val="center"/>
              <w:rPr>
                <w:rFonts w:eastAsia="Calibri"/>
                <w:sz w:val="26"/>
                <w:szCs w:val="26"/>
              </w:rPr>
            </w:pPr>
            <w:r w:rsidRPr="00A552F3">
              <w:rPr>
                <w:rFonts w:eastAsia="Calibri"/>
                <w:sz w:val="26"/>
                <w:szCs w:val="26"/>
              </w:rPr>
              <w:t>(из них 4 плановые)</w:t>
            </w:r>
          </w:p>
        </w:tc>
        <w:tc>
          <w:tcPr>
            <w:tcW w:w="2092" w:type="dxa"/>
            <w:shd w:val="clear" w:color="auto" w:fill="auto"/>
            <w:vAlign w:val="center"/>
          </w:tcPr>
          <w:p w:rsidR="00263EE9" w:rsidRPr="00A552F3" w:rsidRDefault="00263EE9" w:rsidP="00493A8B">
            <w:pPr>
              <w:jc w:val="center"/>
              <w:rPr>
                <w:rFonts w:eastAsia="Calibri"/>
                <w:b/>
                <w:sz w:val="26"/>
                <w:szCs w:val="26"/>
              </w:rPr>
            </w:pPr>
            <w:r w:rsidRPr="00A552F3">
              <w:rPr>
                <w:rFonts w:eastAsia="Calibri"/>
                <w:b/>
                <w:sz w:val="26"/>
                <w:szCs w:val="26"/>
              </w:rPr>
              <w:t>15</w:t>
            </w:r>
          </w:p>
          <w:p w:rsidR="00263EE9" w:rsidRPr="00A552F3" w:rsidRDefault="00263EE9" w:rsidP="00493A8B">
            <w:pPr>
              <w:jc w:val="center"/>
              <w:rPr>
                <w:rFonts w:eastAsia="Calibri"/>
                <w:sz w:val="26"/>
                <w:szCs w:val="26"/>
              </w:rPr>
            </w:pPr>
            <w:r w:rsidRPr="00A552F3">
              <w:rPr>
                <w:rFonts w:eastAsia="Calibri"/>
                <w:sz w:val="26"/>
                <w:szCs w:val="26"/>
              </w:rPr>
              <w:t>(из них 2 плановые)</w:t>
            </w:r>
          </w:p>
        </w:tc>
      </w:tr>
      <w:tr w:rsidR="00263EE9" w:rsidRPr="00A552F3" w:rsidTr="00C97B2C">
        <w:trPr>
          <w:jc w:val="center"/>
        </w:trPr>
        <w:tc>
          <w:tcPr>
            <w:tcW w:w="3193" w:type="dxa"/>
            <w:shd w:val="clear" w:color="auto" w:fill="auto"/>
          </w:tcPr>
          <w:p w:rsidR="00263EE9" w:rsidRPr="00A552F3" w:rsidRDefault="00263EE9" w:rsidP="00493A8B">
            <w:pPr>
              <w:rPr>
                <w:rFonts w:eastAsia="Calibri"/>
                <w:b/>
                <w:sz w:val="26"/>
                <w:szCs w:val="26"/>
              </w:rPr>
            </w:pPr>
            <w:r w:rsidRPr="00A552F3">
              <w:rPr>
                <w:rFonts w:eastAsia="Calibri"/>
                <w:b/>
                <w:sz w:val="26"/>
                <w:szCs w:val="26"/>
              </w:rPr>
              <w:t xml:space="preserve">Выдано предписаний, из них: </w:t>
            </w:r>
          </w:p>
        </w:tc>
        <w:tc>
          <w:tcPr>
            <w:tcW w:w="2052" w:type="dxa"/>
            <w:vAlign w:val="center"/>
          </w:tcPr>
          <w:p w:rsidR="00263EE9" w:rsidRPr="00A552F3" w:rsidRDefault="000436C3" w:rsidP="00493A8B">
            <w:pPr>
              <w:jc w:val="center"/>
              <w:rPr>
                <w:rFonts w:eastAsia="Calibri"/>
                <w:b/>
                <w:sz w:val="26"/>
                <w:szCs w:val="26"/>
              </w:rPr>
            </w:pPr>
            <w:r w:rsidRPr="00A552F3">
              <w:rPr>
                <w:rFonts w:eastAsia="Calibri"/>
                <w:b/>
                <w:sz w:val="26"/>
                <w:szCs w:val="26"/>
              </w:rPr>
              <w:t>59</w:t>
            </w:r>
          </w:p>
        </w:tc>
        <w:tc>
          <w:tcPr>
            <w:tcW w:w="2126" w:type="dxa"/>
            <w:vAlign w:val="center"/>
          </w:tcPr>
          <w:p w:rsidR="00263EE9" w:rsidRPr="00A552F3" w:rsidRDefault="00263EE9" w:rsidP="00493A8B">
            <w:pPr>
              <w:jc w:val="center"/>
              <w:rPr>
                <w:rFonts w:eastAsia="Calibri"/>
                <w:b/>
                <w:sz w:val="26"/>
                <w:szCs w:val="26"/>
              </w:rPr>
            </w:pPr>
            <w:r w:rsidRPr="00A552F3">
              <w:rPr>
                <w:rFonts w:eastAsia="Calibri"/>
                <w:b/>
                <w:sz w:val="26"/>
                <w:szCs w:val="26"/>
              </w:rPr>
              <w:t>58</w:t>
            </w:r>
          </w:p>
        </w:tc>
        <w:tc>
          <w:tcPr>
            <w:tcW w:w="2092" w:type="dxa"/>
            <w:shd w:val="clear" w:color="auto" w:fill="auto"/>
            <w:vAlign w:val="center"/>
          </w:tcPr>
          <w:p w:rsidR="00263EE9" w:rsidRPr="00A552F3" w:rsidRDefault="00263EE9" w:rsidP="00493A8B">
            <w:pPr>
              <w:jc w:val="center"/>
              <w:rPr>
                <w:rFonts w:eastAsia="Calibri"/>
                <w:b/>
                <w:sz w:val="26"/>
                <w:szCs w:val="26"/>
              </w:rPr>
            </w:pPr>
            <w:r w:rsidRPr="00A552F3">
              <w:rPr>
                <w:rFonts w:eastAsia="Calibri"/>
                <w:b/>
                <w:sz w:val="26"/>
                <w:szCs w:val="26"/>
              </w:rPr>
              <w:t>59</w:t>
            </w:r>
          </w:p>
        </w:tc>
      </w:tr>
      <w:tr w:rsidR="00263EE9" w:rsidRPr="00A552F3" w:rsidTr="00C97B2C">
        <w:trPr>
          <w:jc w:val="center"/>
        </w:trPr>
        <w:tc>
          <w:tcPr>
            <w:tcW w:w="3193" w:type="dxa"/>
            <w:shd w:val="clear" w:color="auto" w:fill="auto"/>
          </w:tcPr>
          <w:p w:rsidR="00263EE9" w:rsidRPr="00A552F3" w:rsidRDefault="00263EE9" w:rsidP="00493A8B">
            <w:pPr>
              <w:rPr>
                <w:rFonts w:eastAsia="Calibri"/>
                <w:sz w:val="26"/>
                <w:szCs w:val="26"/>
              </w:rPr>
            </w:pPr>
            <w:r w:rsidRPr="00A552F3">
              <w:rPr>
                <w:rFonts w:eastAsia="Calibri"/>
                <w:sz w:val="26"/>
                <w:szCs w:val="26"/>
              </w:rPr>
              <w:t xml:space="preserve">исполнено </w:t>
            </w:r>
          </w:p>
        </w:tc>
        <w:tc>
          <w:tcPr>
            <w:tcW w:w="2052" w:type="dxa"/>
            <w:vAlign w:val="center"/>
          </w:tcPr>
          <w:p w:rsidR="00263EE9" w:rsidRPr="00A552F3" w:rsidRDefault="000436C3" w:rsidP="00493A8B">
            <w:pPr>
              <w:jc w:val="center"/>
              <w:rPr>
                <w:rFonts w:eastAsia="Calibri"/>
                <w:sz w:val="26"/>
                <w:szCs w:val="26"/>
              </w:rPr>
            </w:pPr>
            <w:r w:rsidRPr="00A552F3">
              <w:rPr>
                <w:rFonts w:eastAsia="Calibri"/>
                <w:sz w:val="26"/>
                <w:szCs w:val="26"/>
              </w:rPr>
              <w:t>59</w:t>
            </w:r>
          </w:p>
        </w:tc>
        <w:tc>
          <w:tcPr>
            <w:tcW w:w="2126" w:type="dxa"/>
            <w:vAlign w:val="center"/>
          </w:tcPr>
          <w:p w:rsidR="00263EE9" w:rsidRPr="00A552F3" w:rsidRDefault="00263EE9" w:rsidP="00493A8B">
            <w:pPr>
              <w:jc w:val="center"/>
              <w:rPr>
                <w:rFonts w:eastAsia="Calibri"/>
                <w:sz w:val="26"/>
                <w:szCs w:val="26"/>
              </w:rPr>
            </w:pPr>
            <w:r w:rsidRPr="00A552F3">
              <w:rPr>
                <w:rFonts w:eastAsia="Calibri"/>
                <w:sz w:val="26"/>
                <w:szCs w:val="26"/>
              </w:rPr>
              <w:t>58</w:t>
            </w:r>
          </w:p>
        </w:tc>
        <w:tc>
          <w:tcPr>
            <w:tcW w:w="2092" w:type="dxa"/>
            <w:shd w:val="clear" w:color="auto" w:fill="auto"/>
            <w:vAlign w:val="center"/>
          </w:tcPr>
          <w:p w:rsidR="00263EE9" w:rsidRPr="00A552F3" w:rsidRDefault="00263EE9" w:rsidP="00493A8B">
            <w:pPr>
              <w:jc w:val="center"/>
              <w:rPr>
                <w:rFonts w:eastAsia="Calibri"/>
                <w:sz w:val="26"/>
                <w:szCs w:val="26"/>
              </w:rPr>
            </w:pPr>
            <w:r w:rsidRPr="00A552F3">
              <w:rPr>
                <w:rFonts w:eastAsia="Calibri"/>
                <w:sz w:val="26"/>
                <w:szCs w:val="26"/>
              </w:rPr>
              <w:t>59</w:t>
            </w:r>
          </w:p>
        </w:tc>
      </w:tr>
      <w:tr w:rsidR="00263EE9" w:rsidRPr="00A552F3" w:rsidTr="00C97B2C">
        <w:trPr>
          <w:jc w:val="center"/>
        </w:trPr>
        <w:tc>
          <w:tcPr>
            <w:tcW w:w="3193" w:type="dxa"/>
            <w:shd w:val="clear" w:color="auto" w:fill="auto"/>
          </w:tcPr>
          <w:p w:rsidR="00263EE9" w:rsidRPr="00A552F3" w:rsidRDefault="00263EE9" w:rsidP="00493A8B">
            <w:pPr>
              <w:rPr>
                <w:rFonts w:eastAsia="Calibri"/>
                <w:b/>
                <w:sz w:val="26"/>
                <w:szCs w:val="26"/>
              </w:rPr>
            </w:pPr>
            <w:r w:rsidRPr="00A552F3">
              <w:rPr>
                <w:rFonts w:eastAsia="Calibri"/>
                <w:b/>
                <w:sz w:val="26"/>
                <w:szCs w:val="26"/>
              </w:rPr>
              <w:t>Возбуждено административных дел:</w:t>
            </w:r>
          </w:p>
        </w:tc>
        <w:tc>
          <w:tcPr>
            <w:tcW w:w="2052" w:type="dxa"/>
            <w:vAlign w:val="center"/>
          </w:tcPr>
          <w:p w:rsidR="00263EE9" w:rsidRPr="00A552F3" w:rsidRDefault="000436C3" w:rsidP="00493A8B">
            <w:pPr>
              <w:jc w:val="center"/>
              <w:rPr>
                <w:rFonts w:eastAsia="Calibri"/>
                <w:b/>
                <w:sz w:val="26"/>
                <w:szCs w:val="26"/>
              </w:rPr>
            </w:pPr>
            <w:r w:rsidRPr="00A552F3">
              <w:rPr>
                <w:rFonts w:eastAsia="Calibri"/>
                <w:b/>
                <w:sz w:val="26"/>
                <w:szCs w:val="26"/>
              </w:rPr>
              <w:t>243</w:t>
            </w:r>
          </w:p>
        </w:tc>
        <w:tc>
          <w:tcPr>
            <w:tcW w:w="2126" w:type="dxa"/>
            <w:vAlign w:val="center"/>
          </w:tcPr>
          <w:p w:rsidR="00263EE9" w:rsidRPr="00A552F3" w:rsidRDefault="00263EE9" w:rsidP="00493A8B">
            <w:pPr>
              <w:jc w:val="center"/>
              <w:rPr>
                <w:rFonts w:eastAsia="Calibri"/>
                <w:b/>
                <w:sz w:val="26"/>
                <w:szCs w:val="26"/>
              </w:rPr>
            </w:pPr>
            <w:r w:rsidRPr="00A552F3">
              <w:rPr>
                <w:rFonts w:eastAsia="Calibri"/>
                <w:b/>
                <w:sz w:val="26"/>
                <w:szCs w:val="26"/>
              </w:rPr>
              <w:t>257</w:t>
            </w:r>
          </w:p>
        </w:tc>
        <w:tc>
          <w:tcPr>
            <w:tcW w:w="2092" w:type="dxa"/>
            <w:shd w:val="clear" w:color="auto" w:fill="auto"/>
            <w:vAlign w:val="center"/>
          </w:tcPr>
          <w:p w:rsidR="00263EE9" w:rsidRPr="00A552F3" w:rsidRDefault="00263EE9" w:rsidP="00493A8B">
            <w:pPr>
              <w:jc w:val="center"/>
              <w:rPr>
                <w:rFonts w:eastAsia="Calibri"/>
                <w:b/>
                <w:sz w:val="26"/>
                <w:szCs w:val="26"/>
              </w:rPr>
            </w:pPr>
            <w:r w:rsidRPr="00A552F3">
              <w:rPr>
                <w:rFonts w:eastAsia="Calibri"/>
                <w:b/>
                <w:sz w:val="26"/>
                <w:szCs w:val="26"/>
              </w:rPr>
              <w:t>330</w:t>
            </w:r>
          </w:p>
        </w:tc>
      </w:tr>
      <w:tr w:rsidR="00263EE9" w:rsidRPr="00A552F3" w:rsidTr="00C97B2C">
        <w:trPr>
          <w:jc w:val="center"/>
        </w:trPr>
        <w:tc>
          <w:tcPr>
            <w:tcW w:w="3193" w:type="dxa"/>
            <w:shd w:val="clear" w:color="auto" w:fill="auto"/>
          </w:tcPr>
          <w:p w:rsidR="00263EE9" w:rsidRPr="00A552F3" w:rsidRDefault="00263EE9" w:rsidP="00493A8B">
            <w:pPr>
              <w:rPr>
                <w:rFonts w:eastAsia="Calibri"/>
                <w:sz w:val="26"/>
                <w:szCs w:val="26"/>
              </w:rPr>
            </w:pPr>
            <w:r w:rsidRPr="00A552F3">
              <w:rPr>
                <w:rFonts w:eastAsia="Calibri"/>
                <w:sz w:val="26"/>
                <w:szCs w:val="26"/>
              </w:rPr>
              <w:t>на основании постановлений органов прокуратуры</w:t>
            </w:r>
          </w:p>
        </w:tc>
        <w:tc>
          <w:tcPr>
            <w:tcW w:w="2052" w:type="dxa"/>
            <w:vAlign w:val="center"/>
          </w:tcPr>
          <w:p w:rsidR="00263EE9" w:rsidRPr="00A552F3" w:rsidRDefault="00C50EC5" w:rsidP="00493A8B">
            <w:pPr>
              <w:jc w:val="center"/>
              <w:rPr>
                <w:rFonts w:eastAsia="Calibri"/>
                <w:sz w:val="26"/>
                <w:szCs w:val="26"/>
              </w:rPr>
            </w:pPr>
            <w:r w:rsidRPr="00A552F3">
              <w:rPr>
                <w:rFonts w:eastAsia="Calibri"/>
                <w:sz w:val="26"/>
                <w:szCs w:val="26"/>
              </w:rPr>
              <w:t>24</w:t>
            </w:r>
          </w:p>
        </w:tc>
        <w:tc>
          <w:tcPr>
            <w:tcW w:w="2126" w:type="dxa"/>
            <w:vAlign w:val="center"/>
          </w:tcPr>
          <w:p w:rsidR="00263EE9" w:rsidRPr="00A552F3" w:rsidRDefault="00263EE9" w:rsidP="00493A8B">
            <w:pPr>
              <w:jc w:val="center"/>
              <w:rPr>
                <w:rFonts w:eastAsia="Calibri"/>
                <w:sz w:val="26"/>
                <w:szCs w:val="26"/>
              </w:rPr>
            </w:pPr>
            <w:r w:rsidRPr="00A552F3">
              <w:rPr>
                <w:rFonts w:eastAsia="Calibri"/>
                <w:sz w:val="26"/>
                <w:szCs w:val="26"/>
              </w:rPr>
              <w:t>111</w:t>
            </w:r>
          </w:p>
        </w:tc>
        <w:tc>
          <w:tcPr>
            <w:tcW w:w="2092" w:type="dxa"/>
            <w:shd w:val="clear" w:color="auto" w:fill="auto"/>
            <w:vAlign w:val="center"/>
          </w:tcPr>
          <w:p w:rsidR="00263EE9" w:rsidRPr="00A552F3" w:rsidRDefault="00263EE9" w:rsidP="00493A8B">
            <w:pPr>
              <w:jc w:val="center"/>
              <w:rPr>
                <w:rFonts w:eastAsia="Calibri"/>
                <w:sz w:val="26"/>
                <w:szCs w:val="26"/>
              </w:rPr>
            </w:pPr>
            <w:r w:rsidRPr="00A552F3">
              <w:rPr>
                <w:rFonts w:eastAsia="Calibri"/>
                <w:sz w:val="26"/>
                <w:szCs w:val="26"/>
              </w:rPr>
              <w:t>92</w:t>
            </w:r>
          </w:p>
        </w:tc>
      </w:tr>
      <w:tr w:rsidR="00263EE9" w:rsidRPr="00A552F3" w:rsidTr="00C97B2C">
        <w:trPr>
          <w:trHeight w:val="319"/>
          <w:jc w:val="center"/>
        </w:trPr>
        <w:tc>
          <w:tcPr>
            <w:tcW w:w="3193" w:type="dxa"/>
            <w:shd w:val="clear" w:color="auto" w:fill="auto"/>
          </w:tcPr>
          <w:p w:rsidR="00263EE9" w:rsidRPr="00A552F3" w:rsidRDefault="00263EE9" w:rsidP="00493A8B">
            <w:pPr>
              <w:rPr>
                <w:rFonts w:eastAsia="Calibri"/>
                <w:sz w:val="26"/>
                <w:szCs w:val="26"/>
              </w:rPr>
            </w:pPr>
            <w:r w:rsidRPr="00A552F3">
              <w:rPr>
                <w:rFonts w:eastAsia="Calibri"/>
                <w:sz w:val="26"/>
                <w:szCs w:val="26"/>
              </w:rPr>
              <w:t>Выдано постановлений о наложении штрафа</w:t>
            </w:r>
          </w:p>
        </w:tc>
        <w:tc>
          <w:tcPr>
            <w:tcW w:w="2052" w:type="dxa"/>
            <w:vAlign w:val="center"/>
          </w:tcPr>
          <w:p w:rsidR="00263EE9" w:rsidRPr="00A552F3" w:rsidRDefault="000436C3" w:rsidP="00493A8B">
            <w:pPr>
              <w:jc w:val="center"/>
              <w:rPr>
                <w:rFonts w:eastAsia="Calibri"/>
                <w:sz w:val="26"/>
                <w:szCs w:val="26"/>
              </w:rPr>
            </w:pPr>
            <w:r w:rsidRPr="00A552F3">
              <w:rPr>
                <w:rFonts w:eastAsia="Calibri"/>
                <w:sz w:val="26"/>
                <w:szCs w:val="26"/>
              </w:rPr>
              <w:t>202</w:t>
            </w:r>
          </w:p>
        </w:tc>
        <w:tc>
          <w:tcPr>
            <w:tcW w:w="2126" w:type="dxa"/>
            <w:vAlign w:val="center"/>
          </w:tcPr>
          <w:p w:rsidR="00263EE9" w:rsidRPr="00A552F3" w:rsidRDefault="00263EE9" w:rsidP="00493A8B">
            <w:pPr>
              <w:jc w:val="center"/>
              <w:rPr>
                <w:rFonts w:eastAsia="Calibri"/>
                <w:sz w:val="26"/>
                <w:szCs w:val="26"/>
              </w:rPr>
            </w:pPr>
            <w:r w:rsidRPr="00A552F3">
              <w:rPr>
                <w:rFonts w:eastAsia="Calibri"/>
                <w:sz w:val="26"/>
                <w:szCs w:val="26"/>
              </w:rPr>
              <w:t>195</w:t>
            </w:r>
          </w:p>
        </w:tc>
        <w:tc>
          <w:tcPr>
            <w:tcW w:w="2092" w:type="dxa"/>
            <w:shd w:val="clear" w:color="auto" w:fill="auto"/>
            <w:vAlign w:val="center"/>
          </w:tcPr>
          <w:p w:rsidR="00263EE9" w:rsidRPr="00A552F3" w:rsidRDefault="00263EE9" w:rsidP="00493A8B">
            <w:pPr>
              <w:jc w:val="center"/>
              <w:rPr>
                <w:rFonts w:eastAsia="Calibri"/>
                <w:sz w:val="26"/>
                <w:szCs w:val="26"/>
              </w:rPr>
            </w:pPr>
            <w:r w:rsidRPr="00A552F3">
              <w:rPr>
                <w:rFonts w:eastAsia="Calibri"/>
                <w:sz w:val="26"/>
                <w:szCs w:val="26"/>
              </w:rPr>
              <w:t>273</w:t>
            </w:r>
          </w:p>
        </w:tc>
      </w:tr>
      <w:tr w:rsidR="00263EE9" w:rsidRPr="00A552F3" w:rsidTr="00C97B2C">
        <w:trPr>
          <w:jc w:val="center"/>
        </w:trPr>
        <w:tc>
          <w:tcPr>
            <w:tcW w:w="3193" w:type="dxa"/>
            <w:shd w:val="clear" w:color="auto" w:fill="auto"/>
          </w:tcPr>
          <w:p w:rsidR="00263EE9" w:rsidRPr="00A552F3" w:rsidRDefault="00263EE9" w:rsidP="00493A8B">
            <w:pPr>
              <w:rPr>
                <w:rFonts w:eastAsia="Calibri"/>
                <w:sz w:val="26"/>
                <w:szCs w:val="26"/>
              </w:rPr>
            </w:pPr>
            <w:r w:rsidRPr="00A552F3">
              <w:rPr>
                <w:rFonts w:eastAsia="Calibri"/>
                <w:sz w:val="26"/>
                <w:szCs w:val="26"/>
              </w:rPr>
              <w:t>Выдано постановлений об у/з</w:t>
            </w:r>
          </w:p>
        </w:tc>
        <w:tc>
          <w:tcPr>
            <w:tcW w:w="2052" w:type="dxa"/>
            <w:vAlign w:val="center"/>
          </w:tcPr>
          <w:p w:rsidR="00263EE9" w:rsidRPr="00A552F3" w:rsidRDefault="00C50EC5" w:rsidP="00493A8B">
            <w:pPr>
              <w:jc w:val="center"/>
              <w:rPr>
                <w:rFonts w:eastAsia="Calibri"/>
                <w:color w:val="000000"/>
                <w:sz w:val="26"/>
                <w:szCs w:val="26"/>
              </w:rPr>
            </w:pPr>
            <w:r w:rsidRPr="00A552F3">
              <w:rPr>
                <w:rFonts w:eastAsia="Calibri"/>
                <w:color w:val="000000"/>
                <w:sz w:val="26"/>
                <w:szCs w:val="26"/>
              </w:rPr>
              <w:t>29</w:t>
            </w:r>
          </w:p>
        </w:tc>
        <w:tc>
          <w:tcPr>
            <w:tcW w:w="2126" w:type="dxa"/>
            <w:vAlign w:val="center"/>
          </w:tcPr>
          <w:p w:rsidR="00263EE9" w:rsidRPr="00A552F3" w:rsidRDefault="00263EE9" w:rsidP="00493A8B">
            <w:pPr>
              <w:jc w:val="center"/>
              <w:rPr>
                <w:rFonts w:eastAsia="Calibri"/>
                <w:color w:val="000000"/>
                <w:sz w:val="26"/>
                <w:szCs w:val="26"/>
              </w:rPr>
            </w:pPr>
            <w:r w:rsidRPr="00A552F3">
              <w:rPr>
                <w:rFonts w:eastAsia="Calibri"/>
                <w:color w:val="000000"/>
                <w:sz w:val="26"/>
                <w:szCs w:val="26"/>
              </w:rPr>
              <w:t>28</w:t>
            </w:r>
          </w:p>
        </w:tc>
        <w:tc>
          <w:tcPr>
            <w:tcW w:w="2092" w:type="dxa"/>
            <w:shd w:val="clear" w:color="auto" w:fill="auto"/>
            <w:vAlign w:val="center"/>
          </w:tcPr>
          <w:p w:rsidR="00263EE9" w:rsidRPr="00A552F3" w:rsidRDefault="00263EE9" w:rsidP="00493A8B">
            <w:pPr>
              <w:jc w:val="center"/>
              <w:rPr>
                <w:rFonts w:eastAsia="Calibri"/>
                <w:sz w:val="26"/>
                <w:szCs w:val="26"/>
              </w:rPr>
            </w:pPr>
            <w:r w:rsidRPr="00A552F3">
              <w:rPr>
                <w:rFonts w:eastAsia="Calibri"/>
                <w:sz w:val="26"/>
                <w:szCs w:val="26"/>
              </w:rPr>
              <w:t>29</w:t>
            </w:r>
          </w:p>
        </w:tc>
      </w:tr>
      <w:tr w:rsidR="00263EE9" w:rsidRPr="00A552F3" w:rsidTr="00C97B2C">
        <w:trPr>
          <w:jc w:val="center"/>
        </w:trPr>
        <w:tc>
          <w:tcPr>
            <w:tcW w:w="3193" w:type="dxa"/>
            <w:shd w:val="clear" w:color="auto" w:fill="auto"/>
          </w:tcPr>
          <w:p w:rsidR="00263EE9" w:rsidRPr="00A552F3" w:rsidRDefault="00263EE9" w:rsidP="00493A8B">
            <w:pPr>
              <w:rPr>
                <w:rFonts w:eastAsia="Calibri"/>
                <w:sz w:val="26"/>
                <w:szCs w:val="26"/>
              </w:rPr>
            </w:pPr>
            <w:r w:rsidRPr="00A552F3">
              <w:rPr>
                <w:rFonts w:eastAsia="Calibri"/>
                <w:sz w:val="26"/>
                <w:szCs w:val="26"/>
              </w:rPr>
              <w:t>Выдано постановлений о прекращении</w:t>
            </w:r>
          </w:p>
        </w:tc>
        <w:tc>
          <w:tcPr>
            <w:tcW w:w="2052" w:type="dxa"/>
            <w:vAlign w:val="center"/>
          </w:tcPr>
          <w:p w:rsidR="00263EE9" w:rsidRPr="00A552F3" w:rsidRDefault="00C50EC5" w:rsidP="00493A8B">
            <w:pPr>
              <w:jc w:val="center"/>
              <w:rPr>
                <w:rFonts w:eastAsia="Calibri"/>
                <w:color w:val="000000"/>
                <w:sz w:val="26"/>
                <w:szCs w:val="26"/>
              </w:rPr>
            </w:pPr>
            <w:r w:rsidRPr="00A552F3">
              <w:rPr>
                <w:rFonts w:eastAsia="Calibri"/>
                <w:color w:val="000000"/>
                <w:sz w:val="26"/>
                <w:szCs w:val="26"/>
              </w:rPr>
              <w:t>12</w:t>
            </w:r>
          </w:p>
        </w:tc>
        <w:tc>
          <w:tcPr>
            <w:tcW w:w="2126" w:type="dxa"/>
            <w:vAlign w:val="center"/>
          </w:tcPr>
          <w:p w:rsidR="00263EE9" w:rsidRPr="00A552F3" w:rsidRDefault="00263EE9" w:rsidP="00493A8B">
            <w:pPr>
              <w:jc w:val="center"/>
              <w:rPr>
                <w:rFonts w:eastAsia="Calibri"/>
                <w:color w:val="000000"/>
                <w:sz w:val="26"/>
                <w:szCs w:val="26"/>
              </w:rPr>
            </w:pPr>
            <w:r w:rsidRPr="00A552F3">
              <w:rPr>
                <w:rFonts w:eastAsia="Calibri"/>
                <w:color w:val="000000"/>
                <w:sz w:val="26"/>
                <w:szCs w:val="26"/>
              </w:rPr>
              <w:t>34</w:t>
            </w:r>
          </w:p>
        </w:tc>
        <w:tc>
          <w:tcPr>
            <w:tcW w:w="2092" w:type="dxa"/>
            <w:shd w:val="clear" w:color="auto" w:fill="auto"/>
            <w:vAlign w:val="center"/>
          </w:tcPr>
          <w:p w:rsidR="00263EE9" w:rsidRPr="00A552F3" w:rsidRDefault="00263EE9" w:rsidP="00493A8B">
            <w:pPr>
              <w:jc w:val="center"/>
              <w:rPr>
                <w:rFonts w:eastAsia="Calibri"/>
                <w:sz w:val="26"/>
                <w:szCs w:val="26"/>
              </w:rPr>
            </w:pPr>
            <w:r w:rsidRPr="00A552F3">
              <w:rPr>
                <w:rFonts w:eastAsia="Calibri"/>
                <w:sz w:val="26"/>
                <w:szCs w:val="26"/>
              </w:rPr>
              <w:t>28</w:t>
            </w:r>
          </w:p>
        </w:tc>
      </w:tr>
      <w:tr w:rsidR="00263EE9" w:rsidRPr="00A552F3" w:rsidTr="00C97B2C">
        <w:trPr>
          <w:jc w:val="center"/>
        </w:trPr>
        <w:tc>
          <w:tcPr>
            <w:tcW w:w="3193" w:type="dxa"/>
            <w:shd w:val="clear" w:color="auto" w:fill="auto"/>
          </w:tcPr>
          <w:p w:rsidR="00263EE9" w:rsidRPr="00A552F3" w:rsidRDefault="00263EE9" w:rsidP="00493A8B">
            <w:pPr>
              <w:rPr>
                <w:rFonts w:eastAsia="Calibri"/>
                <w:sz w:val="26"/>
                <w:szCs w:val="26"/>
              </w:rPr>
            </w:pPr>
            <w:r w:rsidRPr="00A552F3">
              <w:rPr>
                <w:rFonts w:eastAsia="Calibri"/>
                <w:sz w:val="26"/>
                <w:szCs w:val="26"/>
              </w:rPr>
              <w:t>Сумма наложенного штрафа (тыс. руб.)</w:t>
            </w:r>
          </w:p>
        </w:tc>
        <w:tc>
          <w:tcPr>
            <w:tcW w:w="2052" w:type="dxa"/>
            <w:vAlign w:val="center"/>
          </w:tcPr>
          <w:p w:rsidR="00263EE9" w:rsidRPr="00A552F3" w:rsidRDefault="000436C3" w:rsidP="00493A8B">
            <w:pPr>
              <w:jc w:val="center"/>
              <w:rPr>
                <w:rFonts w:eastAsia="Calibri"/>
                <w:color w:val="000000"/>
                <w:sz w:val="26"/>
                <w:szCs w:val="26"/>
              </w:rPr>
            </w:pPr>
            <w:r w:rsidRPr="00A552F3">
              <w:rPr>
                <w:rFonts w:eastAsia="Calibri"/>
                <w:color w:val="000000"/>
                <w:sz w:val="26"/>
                <w:szCs w:val="26"/>
              </w:rPr>
              <w:t>2 521,46</w:t>
            </w:r>
          </w:p>
        </w:tc>
        <w:tc>
          <w:tcPr>
            <w:tcW w:w="2126" w:type="dxa"/>
            <w:vAlign w:val="center"/>
          </w:tcPr>
          <w:p w:rsidR="00263EE9" w:rsidRPr="00A552F3" w:rsidRDefault="00263EE9" w:rsidP="00493A8B">
            <w:pPr>
              <w:jc w:val="center"/>
              <w:rPr>
                <w:rFonts w:eastAsia="Calibri"/>
                <w:sz w:val="26"/>
                <w:szCs w:val="26"/>
              </w:rPr>
            </w:pPr>
            <w:r w:rsidRPr="00A552F3">
              <w:rPr>
                <w:rFonts w:eastAsia="Calibri"/>
                <w:color w:val="000000"/>
                <w:sz w:val="26"/>
                <w:szCs w:val="26"/>
              </w:rPr>
              <w:t>3 595,7</w:t>
            </w:r>
          </w:p>
        </w:tc>
        <w:tc>
          <w:tcPr>
            <w:tcW w:w="2092" w:type="dxa"/>
            <w:shd w:val="clear" w:color="auto" w:fill="auto"/>
            <w:vAlign w:val="center"/>
          </w:tcPr>
          <w:p w:rsidR="00263EE9" w:rsidRPr="00A552F3" w:rsidRDefault="00263EE9" w:rsidP="00493A8B">
            <w:pPr>
              <w:jc w:val="center"/>
              <w:rPr>
                <w:rFonts w:eastAsia="Calibri"/>
                <w:sz w:val="26"/>
                <w:szCs w:val="26"/>
              </w:rPr>
            </w:pPr>
            <w:r w:rsidRPr="00A552F3">
              <w:rPr>
                <w:rFonts w:eastAsia="Calibri"/>
                <w:sz w:val="26"/>
                <w:szCs w:val="26"/>
              </w:rPr>
              <w:t>3 940,2</w:t>
            </w:r>
          </w:p>
        </w:tc>
      </w:tr>
      <w:tr w:rsidR="00263EE9" w:rsidRPr="00A552F3" w:rsidTr="00C97B2C">
        <w:trPr>
          <w:jc w:val="center"/>
        </w:trPr>
        <w:tc>
          <w:tcPr>
            <w:tcW w:w="3193" w:type="dxa"/>
            <w:shd w:val="clear" w:color="auto" w:fill="auto"/>
          </w:tcPr>
          <w:p w:rsidR="00263EE9" w:rsidRPr="00A552F3" w:rsidRDefault="00263EE9" w:rsidP="00493A8B">
            <w:pPr>
              <w:rPr>
                <w:rFonts w:eastAsia="Calibri"/>
                <w:sz w:val="26"/>
                <w:szCs w:val="26"/>
              </w:rPr>
            </w:pPr>
            <w:r w:rsidRPr="00A552F3">
              <w:rPr>
                <w:rFonts w:eastAsia="Calibri"/>
                <w:sz w:val="26"/>
                <w:szCs w:val="26"/>
              </w:rPr>
              <w:t>Сумма уплаченного штрафа (</w:t>
            </w:r>
            <w:r w:rsidRPr="00A552F3">
              <w:rPr>
                <w:rFonts w:eastAsia="Calibri"/>
                <w:color w:val="000000"/>
                <w:sz w:val="26"/>
                <w:szCs w:val="26"/>
              </w:rPr>
              <w:t>с учетом постановлений, выданных в прошлых периодах)</w:t>
            </w:r>
            <w:r w:rsidRPr="00A552F3">
              <w:rPr>
                <w:rFonts w:eastAsia="Calibri"/>
                <w:sz w:val="26"/>
                <w:szCs w:val="26"/>
              </w:rPr>
              <w:t xml:space="preserve"> (тыс. руб.)</w:t>
            </w:r>
          </w:p>
        </w:tc>
        <w:tc>
          <w:tcPr>
            <w:tcW w:w="2052" w:type="dxa"/>
            <w:vAlign w:val="center"/>
          </w:tcPr>
          <w:p w:rsidR="00263EE9" w:rsidRPr="00A552F3" w:rsidRDefault="00C97B2C" w:rsidP="00493A8B">
            <w:pPr>
              <w:jc w:val="center"/>
              <w:rPr>
                <w:rFonts w:eastAsia="Calibri"/>
                <w:color w:val="000000"/>
                <w:sz w:val="26"/>
                <w:szCs w:val="26"/>
              </w:rPr>
            </w:pPr>
            <w:r w:rsidRPr="00A552F3">
              <w:rPr>
                <w:rFonts w:eastAsia="Calibri"/>
                <w:color w:val="000000"/>
                <w:sz w:val="26"/>
                <w:szCs w:val="26"/>
              </w:rPr>
              <w:t>2 659,74</w:t>
            </w:r>
          </w:p>
        </w:tc>
        <w:tc>
          <w:tcPr>
            <w:tcW w:w="2126" w:type="dxa"/>
            <w:vAlign w:val="center"/>
          </w:tcPr>
          <w:p w:rsidR="00263EE9" w:rsidRPr="00A552F3" w:rsidRDefault="00263EE9" w:rsidP="00493A8B">
            <w:pPr>
              <w:jc w:val="center"/>
              <w:rPr>
                <w:rFonts w:eastAsia="Calibri"/>
                <w:sz w:val="26"/>
                <w:szCs w:val="26"/>
              </w:rPr>
            </w:pPr>
            <w:r w:rsidRPr="00A552F3">
              <w:rPr>
                <w:rFonts w:eastAsia="Calibri"/>
                <w:color w:val="000000"/>
                <w:sz w:val="26"/>
                <w:szCs w:val="26"/>
              </w:rPr>
              <w:t>3 178,3</w:t>
            </w:r>
          </w:p>
        </w:tc>
        <w:tc>
          <w:tcPr>
            <w:tcW w:w="2092" w:type="dxa"/>
            <w:shd w:val="clear" w:color="auto" w:fill="auto"/>
            <w:vAlign w:val="center"/>
          </w:tcPr>
          <w:p w:rsidR="00263EE9" w:rsidRPr="00A552F3" w:rsidRDefault="00263EE9" w:rsidP="00493A8B">
            <w:pPr>
              <w:jc w:val="center"/>
              <w:rPr>
                <w:rFonts w:eastAsia="Calibri"/>
                <w:sz w:val="26"/>
                <w:szCs w:val="26"/>
              </w:rPr>
            </w:pPr>
            <w:r w:rsidRPr="00A552F3">
              <w:rPr>
                <w:rFonts w:eastAsia="Calibri"/>
                <w:color w:val="000000"/>
                <w:sz w:val="26"/>
                <w:szCs w:val="26"/>
              </w:rPr>
              <w:t>3 857,4</w:t>
            </w:r>
          </w:p>
        </w:tc>
      </w:tr>
      <w:tr w:rsidR="00263EE9" w:rsidRPr="00A552F3" w:rsidTr="00C97B2C">
        <w:trPr>
          <w:jc w:val="center"/>
        </w:trPr>
        <w:tc>
          <w:tcPr>
            <w:tcW w:w="3193" w:type="dxa"/>
            <w:shd w:val="clear" w:color="auto" w:fill="auto"/>
          </w:tcPr>
          <w:p w:rsidR="00263EE9" w:rsidRPr="00A552F3" w:rsidRDefault="00263EE9" w:rsidP="00493A8B">
            <w:pPr>
              <w:rPr>
                <w:rFonts w:eastAsia="Calibri"/>
                <w:b/>
                <w:sz w:val="26"/>
                <w:szCs w:val="26"/>
              </w:rPr>
            </w:pPr>
            <w:r w:rsidRPr="00A552F3">
              <w:rPr>
                <w:rFonts w:eastAsia="Calibri"/>
                <w:b/>
                <w:sz w:val="26"/>
                <w:szCs w:val="26"/>
              </w:rPr>
              <w:t xml:space="preserve">Обжаловано постановлений УФАС в суд, вышестоящему должностному лицу, из них: </w:t>
            </w:r>
          </w:p>
        </w:tc>
        <w:tc>
          <w:tcPr>
            <w:tcW w:w="2052" w:type="dxa"/>
            <w:vAlign w:val="center"/>
          </w:tcPr>
          <w:p w:rsidR="00263EE9" w:rsidRPr="00A552F3" w:rsidRDefault="00C50EC5" w:rsidP="00493A8B">
            <w:pPr>
              <w:jc w:val="center"/>
              <w:rPr>
                <w:rFonts w:eastAsia="Calibri"/>
                <w:b/>
                <w:sz w:val="26"/>
                <w:szCs w:val="26"/>
              </w:rPr>
            </w:pPr>
            <w:r w:rsidRPr="00A552F3">
              <w:rPr>
                <w:rFonts w:eastAsia="Calibri"/>
                <w:b/>
                <w:sz w:val="26"/>
                <w:szCs w:val="26"/>
              </w:rPr>
              <w:t>26</w:t>
            </w:r>
          </w:p>
        </w:tc>
        <w:tc>
          <w:tcPr>
            <w:tcW w:w="2126" w:type="dxa"/>
            <w:vAlign w:val="center"/>
          </w:tcPr>
          <w:p w:rsidR="005C44E2" w:rsidRDefault="005C44E2" w:rsidP="00493A8B">
            <w:pPr>
              <w:jc w:val="center"/>
              <w:rPr>
                <w:rFonts w:eastAsia="Calibri"/>
                <w:b/>
                <w:sz w:val="26"/>
                <w:szCs w:val="26"/>
              </w:rPr>
            </w:pPr>
          </w:p>
          <w:p w:rsidR="00263EE9" w:rsidRPr="00A552F3" w:rsidRDefault="00263EE9" w:rsidP="00493A8B">
            <w:pPr>
              <w:jc w:val="center"/>
              <w:rPr>
                <w:rFonts w:eastAsia="Calibri"/>
                <w:b/>
                <w:sz w:val="26"/>
                <w:szCs w:val="26"/>
              </w:rPr>
            </w:pPr>
            <w:r w:rsidRPr="00A552F3">
              <w:rPr>
                <w:rFonts w:eastAsia="Calibri"/>
                <w:b/>
                <w:sz w:val="26"/>
                <w:szCs w:val="26"/>
              </w:rPr>
              <w:t>42</w:t>
            </w:r>
          </w:p>
          <w:p w:rsidR="00263EE9" w:rsidRPr="00A552F3" w:rsidRDefault="00263EE9" w:rsidP="00493A8B">
            <w:pPr>
              <w:jc w:val="center"/>
              <w:rPr>
                <w:rFonts w:eastAsia="Calibri"/>
                <w:sz w:val="26"/>
                <w:szCs w:val="26"/>
              </w:rPr>
            </w:pPr>
          </w:p>
        </w:tc>
        <w:tc>
          <w:tcPr>
            <w:tcW w:w="2092" w:type="dxa"/>
            <w:shd w:val="clear" w:color="auto" w:fill="auto"/>
            <w:vAlign w:val="center"/>
          </w:tcPr>
          <w:p w:rsidR="005C44E2" w:rsidRDefault="005C44E2" w:rsidP="00493A8B">
            <w:pPr>
              <w:jc w:val="center"/>
              <w:rPr>
                <w:rFonts w:eastAsia="Calibri"/>
                <w:b/>
                <w:sz w:val="26"/>
                <w:szCs w:val="26"/>
              </w:rPr>
            </w:pPr>
          </w:p>
          <w:p w:rsidR="005C44E2" w:rsidRDefault="005C44E2" w:rsidP="00493A8B">
            <w:pPr>
              <w:jc w:val="center"/>
              <w:rPr>
                <w:rFonts w:eastAsia="Calibri"/>
                <w:b/>
                <w:sz w:val="26"/>
                <w:szCs w:val="26"/>
              </w:rPr>
            </w:pPr>
          </w:p>
          <w:p w:rsidR="00263EE9" w:rsidRPr="00A552F3" w:rsidRDefault="00032980" w:rsidP="00493A8B">
            <w:pPr>
              <w:jc w:val="center"/>
              <w:rPr>
                <w:rFonts w:eastAsia="Calibri"/>
                <w:b/>
                <w:sz w:val="26"/>
                <w:szCs w:val="26"/>
              </w:rPr>
            </w:pPr>
            <w:r>
              <w:rPr>
                <w:rFonts w:eastAsia="Calibri"/>
                <w:b/>
                <w:sz w:val="26"/>
                <w:szCs w:val="26"/>
              </w:rPr>
              <w:t>48</w:t>
            </w:r>
            <w:r w:rsidR="00263EE9" w:rsidRPr="00A552F3">
              <w:rPr>
                <w:rFonts w:eastAsia="Calibri"/>
                <w:b/>
                <w:sz w:val="26"/>
                <w:szCs w:val="26"/>
              </w:rPr>
              <w:t xml:space="preserve"> </w:t>
            </w:r>
          </w:p>
          <w:p w:rsidR="00263EE9" w:rsidRPr="00A552F3" w:rsidRDefault="00032980" w:rsidP="00493A8B">
            <w:pPr>
              <w:jc w:val="center"/>
              <w:rPr>
                <w:rFonts w:eastAsia="Calibri"/>
                <w:b/>
                <w:sz w:val="26"/>
                <w:szCs w:val="26"/>
              </w:rPr>
            </w:pPr>
            <w:r>
              <w:rPr>
                <w:rFonts w:eastAsia="Calibri"/>
                <w:sz w:val="26"/>
                <w:szCs w:val="26"/>
              </w:rPr>
              <w:t>(23</w:t>
            </w:r>
            <w:r w:rsidR="00263EE9" w:rsidRPr="00A552F3">
              <w:rPr>
                <w:rFonts w:eastAsia="Calibri"/>
                <w:sz w:val="26"/>
                <w:szCs w:val="26"/>
              </w:rPr>
              <w:t xml:space="preserve"> – в стадии)</w:t>
            </w:r>
          </w:p>
          <w:p w:rsidR="00263EE9" w:rsidRPr="00A552F3" w:rsidRDefault="00263EE9" w:rsidP="00493A8B">
            <w:pPr>
              <w:jc w:val="center"/>
              <w:rPr>
                <w:rFonts w:eastAsia="Calibri"/>
                <w:b/>
                <w:sz w:val="26"/>
                <w:szCs w:val="26"/>
              </w:rPr>
            </w:pPr>
          </w:p>
        </w:tc>
      </w:tr>
      <w:tr w:rsidR="00263EE9" w:rsidRPr="00A552F3" w:rsidTr="00C50EC5">
        <w:trPr>
          <w:jc w:val="center"/>
        </w:trPr>
        <w:tc>
          <w:tcPr>
            <w:tcW w:w="3193" w:type="dxa"/>
            <w:shd w:val="clear" w:color="auto" w:fill="auto"/>
            <w:vAlign w:val="center"/>
          </w:tcPr>
          <w:p w:rsidR="00263EE9" w:rsidRPr="00A552F3" w:rsidRDefault="00263EE9" w:rsidP="00493A8B">
            <w:pPr>
              <w:rPr>
                <w:rFonts w:eastAsia="Calibri"/>
                <w:sz w:val="26"/>
                <w:szCs w:val="26"/>
              </w:rPr>
            </w:pPr>
            <w:r w:rsidRPr="00A552F3">
              <w:rPr>
                <w:rFonts w:eastAsia="Calibri"/>
                <w:sz w:val="26"/>
                <w:szCs w:val="26"/>
              </w:rPr>
              <w:t>Оставлено в силе</w:t>
            </w:r>
          </w:p>
        </w:tc>
        <w:tc>
          <w:tcPr>
            <w:tcW w:w="2052" w:type="dxa"/>
            <w:vAlign w:val="center"/>
          </w:tcPr>
          <w:p w:rsidR="00263EE9" w:rsidRPr="00A552F3" w:rsidRDefault="00C50EC5" w:rsidP="00493A8B">
            <w:pPr>
              <w:jc w:val="center"/>
              <w:rPr>
                <w:rFonts w:eastAsia="Calibri"/>
                <w:sz w:val="26"/>
                <w:szCs w:val="26"/>
              </w:rPr>
            </w:pPr>
            <w:r w:rsidRPr="00A552F3">
              <w:rPr>
                <w:rFonts w:eastAsia="Calibri"/>
                <w:sz w:val="26"/>
                <w:szCs w:val="26"/>
              </w:rPr>
              <w:t>13</w:t>
            </w:r>
          </w:p>
        </w:tc>
        <w:tc>
          <w:tcPr>
            <w:tcW w:w="2126" w:type="dxa"/>
            <w:vAlign w:val="center"/>
          </w:tcPr>
          <w:p w:rsidR="00263EE9" w:rsidRPr="00A552F3" w:rsidRDefault="00263EE9" w:rsidP="00493A8B">
            <w:pPr>
              <w:jc w:val="center"/>
              <w:rPr>
                <w:rFonts w:eastAsia="Calibri"/>
                <w:sz w:val="26"/>
                <w:szCs w:val="26"/>
              </w:rPr>
            </w:pPr>
            <w:r w:rsidRPr="00A552F3">
              <w:rPr>
                <w:rFonts w:eastAsia="Calibri"/>
                <w:sz w:val="26"/>
                <w:szCs w:val="26"/>
              </w:rPr>
              <w:t>30</w:t>
            </w:r>
          </w:p>
        </w:tc>
        <w:tc>
          <w:tcPr>
            <w:tcW w:w="2092" w:type="dxa"/>
            <w:shd w:val="clear" w:color="auto" w:fill="auto"/>
            <w:vAlign w:val="center"/>
          </w:tcPr>
          <w:p w:rsidR="00263EE9" w:rsidRPr="00A552F3" w:rsidRDefault="00263EE9" w:rsidP="00C50EC5">
            <w:pPr>
              <w:jc w:val="center"/>
              <w:rPr>
                <w:rFonts w:eastAsia="Calibri"/>
                <w:sz w:val="26"/>
                <w:szCs w:val="26"/>
              </w:rPr>
            </w:pPr>
            <w:r w:rsidRPr="00A552F3">
              <w:rPr>
                <w:rFonts w:eastAsia="Calibri"/>
                <w:sz w:val="26"/>
                <w:szCs w:val="26"/>
              </w:rPr>
              <w:t>16</w:t>
            </w:r>
          </w:p>
        </w:tc>
      </w:tr>
      <w:tr w:rsidR="00263EE9" w:rsidRPr="00A552F3" w:rsidTr="00C97B2C">
        <w:trPr>
          <w:jc w:val="center"/>
        </w:trPr>
        <w:tc>
          <w:tcPr>
            <w:tcW w:w="3193" w:type="dxa"/>
            <w:shd w:val="clear" w:color="auto" w:fill="auto"/>
          </w:tcPr>
          <w:p w:rsidR="00263EE9" w:rsidRPr="00A552F3" w:rsidRDefault="003F07E0" w:rsidP="00493A8B">
            <w:pPr>
              <w:rPr>
                <w:rFonts w:eastAsia="Calibri"/>
                <w:sz w:val="26"/>
                <w:szCs w:val="26"/>
              </w:rPr>
            </w:pPr>
            <w:r w:rsidRPr="00A552F3">
              <w:rPr>
                <w:rFonts w:eastAsia="Calibri"/>
                <w:sz w:val="26"/>
                <w:szCs w:val="26"/>
              </w:rPr>
              <w:lastRenderedPageBreak/>
              <w:t>О</w:t>
            </w:r>
            <w:r w:rsidR="00263EE9" w:rsidRPr="00A552F3">
              <w:rPr>
                <w:rFonts w:eastAsia="Calibri"/>
                <w:sz w:val="26"/>
                <w:szCs w:val="26"/>
              </w:rPr>
              <w:t>тменено</w:t>
            </w:r>
          </w:p>
        </w:tc>
        <w:tc>
          <w:tcPr>
            <w:tcW w:w="2052" w:type="dxa"/>
            <w:vAlign w:val="center"/>
          </w:tcPr>
          <w:p w:rsidR="00263EE9" w:rsidRPr="00A552F3" w:rsidRDefault="003F07E0" w:rsidP="00493A8B">
            <w:pPr>
              <w:jc w:val="center"/>
              <w:rPr>
                <w:rFonts w:eastAsia="Calibri"/>
                <w:sz w:val="26"/>
                <w:szCs w:val="26"/>
              </w:rPr>
            </w:pPr>
            <w:r w:rsidRPr="00A552F3">
              <w:rPr>
                <w:rFonts w:eastAsia="Calibri"/>
                <w:sz w:val="26"/>
                <w:szCs w:val="26"/>
              </w:rPr>
              <w:t>2</w:t>
            </w:r>
          </w:p>
        </w:tc>
        <w:tc>
          <w:tcPr>
            <w:tcW w:w="2126" w:type="dxa"/>
            <w:vAlign w:val="center"/>
          </w:tcPr>
          <w:p w:rsidR="00263EE9" w:rsidRPr="00A552F3" w:rsidRDefault="00263EE9" w:rsidP="00493A8B">
            <w:pPr>
              <w:jc w:val="center"/>
              <w:rPr>
                <w:rFonts w:eastAsia="Calibri"/>
                <w:sz w:val="26"/>
                <w:szCs w:val="26"/>
              </w:rPr>
            </w:pPr>
            <w:r w:rsidRPr="00A552F3">
              <w:rPr>
                <w:rFonts w:eastAsia="Calibri"/>
                <w:sz w:val="26"/>
                <w:szCs w:val="26"/>
              </w:rPr>
              <w:t>9</w:t>
            </w:r>
          </w:p>
        </w:tc>
        <w:tc>
          <w:tcPr>
            <w:tcW w:w="2092" w:type="dxa"/>
            <w:shd w:val="clear" w:color="auto" w:fill="auto"/>
            <w:vAlign w:val="center"/>
          </w:tcPr>
          <w:p w:rsidR="00263EE9" w:rsidRPr="00A552F3" w:rsidRDefault="00263EE9" w:rsidP="00493A8B">
            <w:pPr>
              <w:jc w:val="center"/>
              <w:rPr>
                <w:rFonts w:eastAsia="Calibri"/>
                <w:sz w:val="26"/>
                <w:szCs w:val="26"/>
              </w:rPr>
            </w:pPr>
            <w:r w:rsidRPr="00A552F3">
              <w:rPr>
                <w:rFonts w:eastAsia="Calibri"/>
                <w:sz w:val="26"/>
                <w:szCs w:val="26"/>
              </w:rPr>
              <w:t>6</w:t>
            </w:r>
          </w:p>
        </w:tc>
      </w:tr>
      <w:tr w:rsidR="00263EE9" w:rsidRPr="00A552F3" w:rsidTr="00C97B2C">
        <w:trPr>
          <w:jc w:val="center"/>
        </w:trPr>
        <w:tc>
          <w:tcPr>
            <w:tcW w:w="3193" w:type="dxa"/>
            <w:shd w:val="clear" w:color="auto" w:fill="auto"/>
          </w:tcPr>
          <w:p w:rsidR="00263EE9" w:rsidRPr="00A552F3" w:rsidRDefault="00263EE9" w:rsidP="00493A8B">
            <w:pPr>
              <w:rPr>
                <w:rFonts w:eastAsia="Calibri"/>
                <w:sz w:val="26"/>
                <w:szCs w:val="26"/>
              </w:rPr>
            </w:pPr>
            <w:r w:rsidRPr="00A552F3">
              <w:rPr>
                <w:rFonts w:eastAsia="Calibri"/>
                <w:sz w:val="26"/>
                <w:szCs w:val="26"/>
              </w:rPr>
              <w:t>Требования удовлетворены частично (устное замечание)</w:t>
            </w:r>
          </w:p>
        </w:tc>
        <w:tc>
          <w:tcPr>
            <w:tcW w:w="2052" w:type="dxa"/>
            <w:vAlign w:val="center"/>
          </w:tcPr>
          <w:p w:rsidR="00263EE9" w:rsidRPr="00A552F3" w:rsidRDefault="003F07E0" w:rsidP="00493A8B">
            <w:pPr>
              <w:jc w:val="center"/>
              <w:rPr>
                <w:rFonts w:eastAsia="Calibri"/>
                <w:sz w:val="26"/>
                <w:szCs w:val="26"/>
              </w:rPr>
            </w:pPr>
            <w:r w:rsidRPr="00A552F3">
              <w:rPr>
                <w:rFonts w:eastAsia="Calibri"/>
                <w:sz w:val="26"/>
                <w:szCs w:val="26"/>
              </w:rPr>
              <w:t>7</w:t>
            </w:r>
          </w:p>
        </w:tc>
        <w:tc>
          <w:tcPr>
            <w:tcW w:w="2126" w:type="dxa"/>
            <w:vAlign w:val="center"/>
          </w:tcPr>
          <w:p w:rsidR="00263EE9" w:rsidRPr="00A552F3" w:rsidRDefault="00263EE9" w:rsidP="00493A8B">
            <w:pPr>
              <w:jc w:val="center"/>
              <w:rPr>
                <w:rFonts w:eastAsia="Calibri"/>
                <w:sz w:val="26"/>
                <w:szCs w:val="26"/>
              </w:rPr>
            </w:pPr>
            <w:r w:rsidRPr="00A552F3">
              <w:rPr>
                <w:rFonts w:eastAsia="Calibri"/>
                <w:sz w:val="26"/>
                <w:szCs w:val="26"/>
              </w:rPr>
              <w:t>3</w:t>
            </w:r>
          </w:p>
        </w:tc>
        <w:tc>
          <w:tcPr>
            <w:tcW w:w="2092" w:type="dxa"/>
            <w:shd w:val="clear" w:color="auto" w:fill="auto"/>
            <w:vAlign w:val="center"/>
          </w:tcPr>
          <w:p w:rsidR="00263EE9" w:rsidRPr="00A552F3" w:rsidRDefault="00263EE9" w:rsidP="00493A8B">
            <w:pPr>
              <w:jc w:val="center"/>
              <w:rPr>
                <w:rFonts w:eastAsia="Calibri"/>
                <w:sz w:val="26"/>
                <w:szCs w:val="26"/>
              </w:rPr>
            </w:pPr>
            <w:r w:rsidRPr="00A552F3">
              <w:rPr>
                <w:rFonts w:eastAsia="Calibri"/>
                <w:sz w:val="26"/>
                <w:szCs w:val="26"/>
              </w:rPr>
              <w:t>3</w:t>
            </w:r>
          </w:p>
        </w:tc>
      </w:tr>
      <w:tr w:rsidR="00263EE9" w:rsidRPr="00A552F3" w:rsidTr="00C97B2C">
        <w:trPr>
          <w:jc w:val="center"/>
        </w:trPr>
        <w:tc>
          <w:tcPr>
            <w:tcW w:w="3193" w:type="dxa"/>
            <w:shd w:val="clear" w:color="auto" w:fill="auto"/>
          </w:tcPr>
          <w:p w:rsidR="00263EE9" w:rsidRPr="00A552F3" w:rsidRDefault="00263EE9" w:rsidP="00493A8B">
            <w:pPr>
              <w:rPr>
                <w:rFonts w:eastAsia="Calibri"/>
                <w:b/>
                <w:sz w:val="26"/>
                <w:szCs w:val="26"/>
              </w:rPr>
            </w:pPr>
            <w:r w:rsidRPr="00A552F3">
              <w:rPr>
                <w:rFonts w:eastAsia="Calibri"/>
                <w:b/>
                <w:sz w:val="26"/>
                <w:szCs w:val="26"/>
              </w:rPr>
              <w:t>Рассмотрено обращений по включению в реестр недобросовестных поставщиков, из них</w:t>
            </w:r>
          </w:p>
        </w:tc>
        <w:tc>
          <w:tcPr>
            <w:tcW w:w="2052" w:type="dxa"/>
            <w:vAlign w:val="center"/>
          </w:tcPr>
          <w:p w:rsidR="00263EE9" w:rsidRPr="00A552F3" w:rsidRDefault="003F07E0" w:rsidP="00493A8B">
            <w:pPr>
              <w:jc w:val="center"/>
              <w:rPr>
                <w:rFonts w:eastAsia="Calibri"/>
                <w:b/>
                <w:sz w:val="26"/>
                <w:szCs w:val="26"/>
              </w:rPr>
            </w:pPr>
            <w:r w:rsidRPr="00A552F3">
              <w:rPr>
                <w:rFonts w:eastAsia="Calibri"/>
                <w:b/>
                <w:sz w:val="26"/>
                <w:szCs w:val="26"/>
              </w:rPr>
              <w:t>98</w:t>
            </w:r>
          </w:p>
        </w:tc>
        <w:tc>
          <w:tcPr>
            <w:tcW w:w="2126" w:type="dxa"/>
            <w:vAlign w:val="center"/>
          </w:tcPr>
          <w:p w:rsidR="00263EE9" w:rsidRPr="00A552F3" w:rsidRDefault="00263EE9" w:rsidP="00493A8B">
            <w:pPr>
              <w:jc w:val="center"/>
              <w:rPr>
                <w:rFonts w:eastAsia="Calibri"/>
                <w:b/>
                <w:sz w:val="26"/>
                <w:szCs w:val="26"/>
              </w:rPr>
            </w:pPr>
            <w:r w:rsidRPr="00A552F3">
              <w:rPr>
                <w:rFonts w:eastAsia="Calibri"/>
                <w:b/>
                <w:sz w:val="26"/>
                <w:szCs w:val="26"/>
              </w:rPr>
              <w:t>94</w:t>
            </w:r>
          </w:p>
        </w:tc>
        <w:tc>
          <w:tcPr>
            <w:tcW w:w="2092" w:type="dxa"/>
            <w:shd w:val="clear" w:color="auto" w:fill="auto"/>
            <w:vAlign w:val="center"/>
          </w:tcPr>
          <w:p w:rsidR="00263EE9" w:rsidRPr="00A552F3" w:rsidRDefault="00263EE9" w:rsidP="00493A8B">
            <w:pPr>
              <w:jc w:val="center"/>
              <w:rPr>
                <w:rFonts w:eastAsia="Calibri"/>
                <w:b/>
                <w:sz w:val="26"/>
                <w:szCs w:val="26"/>
              </w:rPr>
            </w:pPr>
            <w:r w:rsidRPr="00A552F3">
              <w:rPr>
                <w:rFonts w:eastAsia="Calibri"/>
                <w:b/>
                <w:sz w:val="26"/>
                <w:szCs w:val="26"/>
              </w:rPr>
              <w:t>184</w:t>
            </w:r>
          </w:p>
        </w:tc>
      </w:tr>
      <w:tr w:rsidR="00263EE9" w:rsidRPr="00A552F3" w:rsidTr="00C97B2C">
        <w:trPr>
          <w:jc w:val="center"/>
        </w:trPr>
        <w:tc>
          <w:tcPr>
            <w:tcW w:w="3193" w:type="dxa"/>
            <w:shd w:val="clear" w:color="auto" w:fill="auto"/>
          </w:tcPr>
          <w:p w:rsidR="00263EE9" w:rsidRPr="00A552F3" w:rsidRDefault="00263EE9" w:rsidP="00493A8B">
            <w:pPr>
              <w:rPr>
                <w:rFonts w:eastAsia="Calibri"/>
                <w:sz w:val="26"/>
                <w:szCs w:val="26"/>
              </w:rPr>
            </w:pPr>
            <w:r w:rsidRPr="00A552F3">
              <w:rPr>
                <w:rFonts w:eastAsia="Calibri"/>
                <w:sz w:val="26"/>
                <w:szCs w:val="26"/>
              </w:rPr>
              <w:t>Включено в реестр</w:t>
            </w:r>
          </w:p>
        </w:tc>
        <w:tc>
          <w:tcPr>
            <w:tcW w:w="2052" w:type="dxa"/>
            <w:vAlign w:val="center"/>
          </w:tcPr>
          <w:p w:rsidR="00263EE9" w:rsidRPr="00A552F3" w:rsidRDefault="003F07E0" w:rsidP="00493A8B">
            <w:pPr>
              <w:jc w:val="center"/>
              <w:rPr>
                <w:rFonts w:eastAsia="Calibri"/>
                <w:sz w:val="26"/>
                <w:szCs w:val="26"/>
              </w:rPr>
            </w:pPr>
            <w:r w:rsidRPr="00A552F3">
              <w:rPr>
                <w:rFonts w:eastAsia="Calibri"/>
                <w:sz w:val="26"/>
                <w:szCs w:val="26"/>
              </w:rPr>
              <w:t>31</w:t>
            </w:r>
          </w:p>
        </w:tc>
        <w:tc>
          <w:tcPr>
            <w:tcW w:w="2126" w:type="dxa"/>
            <w:vAlign w:val="center"/>
          </w:tcPr>
          <w:p w:rsidR="00263EE9" w:rsidRPr="00A552F3" w:rsidRDefault="00263EE9" w:rsidP="00493A8B">
            <w:pPr>
              <w:jc w:val="center"/>
              <w:rPr>
                <w:rFonts w:eastAsia="Calibri"/>
                <w:sz w:val="26"/>
                <w:szCs w:val="26"/>
              </w:rPr>
            </w:pPr>
            <w:r w:rsidRPr="00A552F3">
              <w:rPr>
                <w:rFonts w:eastAsia="Calibri"/>
                <w:sz w:val="26"/>
                <w:szCs w:val="26"/>
              </w:rPr>
              <w:t>20</w:t>
            </w:r>
          </w:p>
        </w:tc>
        <w:tc>
          <w:tcPr>
            <w:tcW w:w="2092" w:type="dxa"/>
            <w:shd w:val="clear" w:color="auto" w:fill="auto"/>
            <w:vAlign w:val="center"/>
          </w:tcPr>
          <w:p w:rsidR="00263EE9" w:rsidRPr="00A552F3" w:rsidRDefault="00032980" w:rsidP="00493A8B">
            <w:pPr>
              <w:jc w:val="center"/>
              <w:rPr>
                <w:rFonts w:eastAsia="Calibri"/>
                <w:sz w:val="26"/>
                <w:szCs w:val="26"/>
              </w:rPr>
            </w:pPr>
            <w:r>
              <w:rPr>
                <w:rFonts w:eastAsia="Calibri"/>
                <w:sz w:val="26"/>
                <w:szCs w:val="26"/>
              </w:rPr>
              <w:t>37</w:t>
            </w:r>
          </w:p>
        </w:tc>
      </w:tr>
      <w:tr w:rsidR="00263EE9" w:rsidRPr="00A552F3" w:rsidTr="00C97B2C">
        <w:trPr>
          <w:jc w:val="center"/>
        </w:trPr>
        <w:tc>
          <w:tcPr>
            <w:tcW w:w="3193" w:type="dxa"/>
            <w:shd w:val="clear" w:color="auto" w:fill="auto"/>
          </w:tcPr>
          <w:p w:rsidR="00263EE9" w:rsidRPr="00A552F3" w:rsidRDefault="00263EE9" w:rsidP="003F07E0">
            <w:pPr>
              <w:rPr>
                <w:rFonts w:eastAsia="Calibri"/>
                <w:b/>
                <w:sz w:val="26"/>
                <w:szCs w:val="26"/>
              </w:rPr>
            </w:pPr>
            <w:r w:rsidRPr="00A552F3">
              <w:rPr>
                <w:rFonts w:eastAsia="Calibri"/>
                <w:b/>
                <w:sz w:val="26"/>
                <w:szCs w:val="26"/>
              </w:rPr>
              <w:t xml:space="preserve">Обжаловано ненормативных актов УФАС в арбитражный суд </w:t>
            </w:r>
          </w:p>
        </w:tc>
        <w:tc>
          <w:tcPr>
            <w:tcW w:w="2052" w:type="dxa"/>
            <w:vAlign w:val="center"/>
          </w:tcPr>
          <w:p w:rsidR="00263EE9" w:rsidRPr="00A552F3" w:rsidRDefault="003F07E0" w:rsidP="00493A8B">
            <w:pPr>
              <w:jc w:val="center"/>
              <w:rPr>
                <w:rFonts w:eastAsia="Calibri"/>
                <w:b/>
                <w:sz w:val="26"/>
                <w:szCs w:val="26"/>
              </w:rPr>
            </w:pPr>
            <w:r w:rsidRPr="00A552F3">
              <w:rPr>
                <w:rFonts w:eastAsia="Calibri"/>
                <w:b/>
                <w:sz w:val="26"/>
                <w:szCs w:val="26"/>
              </w:rPr>
              <w:t>11</w:t>
            </w:r>
          </w:p>
        </w:tc>
        <w:tc>
          <w:tcPr>
            <w:tcW w:w="2126" w:type="dxa"/>
            <w:vAlign w:val="center"/>
          </w:tcPr>
          <w:p w:rsidR="00263EE9" w:rsidRPr="00A552F3" w:rsidRDefault="00263EE9" w:rsidP="00493A8B">
            <w:pPr>
              <w:jc w:val="center"/>
              <w:rPr>
                <w:rFonts w:eastAsia="Calibri"/>
                <w:b/>
                <w:sz w:val="26"/>
                <w:szCs w:val="26"/>
              </w:rPr>
            </w:pPr>
            <w:r w:rsidRPr="00A552F3">
              <w:rPr>
                <w:rFonts w:eastAsia="Calibri"/>
                <w:b/>
                <w:sz w:val="26"/>
                <w:szCs w:val="26"/>
              </w:rPr>
              <w:t>9</w:t>
            </w:r>
          </w:p>
        </w:tc>
        <w:tc>
          <w:tcPr>
            <w:tcW w:w="2092" w:type="dxa"/>
            <w:shd w:val="clear" w:color="auto" w:fill="auto"/>
            <w:vAlign w:val="center"/>
          </w:tcPr>
          <w:p w:rsidR="00263EE9" w:rsidRPr="00A552F3" w:rsidRDefault="00263EE9" w:rsidP="00493A8B">
            <w:pPr>
              <w:jc w:val="center"/>
              <w:rPr>
                <w:rFonts w:eastAsia="Calibri"/>
                <w:b/>
                <w:sz w:val="26"/>
                <w:szCs w:val="26"/>
              </w:rPr>
            </w:pPr>
            <w:r w:rsidRPr="00A552F3">
              <w:rPr>
                <w:rFonts w:eastAsia="Calibri"/>
                <w:b/>
                <w:sz w:val="26"/>
                <w:szCs w:val="26"/>
              </w:rPr>
              <w:t>5</w:t>
            </w:r>
          </w:p>
        </w:tc>
      </w:tr>
    </w:tbl>
    <w:p w:rsidR="00F00742" w:rsidRDefault="00F00742" w:rsidP="00686B03">
      <w:pPr>
        <w:jc w:val="center"/>
        <w:rPr>
          <w:b/>
          <w:szCs w:val="24"/>
        </w:rPr>
      </w:pPr>
    </w:p>
    <w:p w:rsidR="00686B03" w:rsidRPr="00686B03" w:rsidRDefault="00686B03" w:rsidP="00686B03">
      <w:pPr>
        <w:jc w:val="center"/>
        <w:rPr>
          <w:b/>
          <w:szCs w:val="24"/>
        </w:rPr>
      </w:pPr>
      <w:r w:rsidRPr="00686B03">
        <w:rPr>
          <w:b/>
          <w:szCs w:val="24"/>
        </w:rPr>
        <w:t xml:space="preserve">Количество вынесенных постановлений о наложении административного наказания по 44 –ФЗ по уровням заказчиков </w:t>
      </w:r>
    </w:p>
    <w:p w:rsidR="00686B03" w:rsidRDefault="00686B03" w:rsidP="00686B03">
      <w:pPr>
        <w:jc w:val="center"/>
        <w:rPr>
          <w:b/>
          <w:szCs w:val="24"/>
        </w:rPr>
      </w:pPr>
      <w:r w:rsidRPr="00686B03">
        <w:rPr>
          <w:b/>
          <w:szCs w:val="24"/>
        </w:rPr>
        <w:t>в 2019 году</w:t>
      </w:r>
    </w:p>
    <w:p w:rsidR="00E942AC" w:rsidRPr="00686B03" w:rsidRDefault="00E942AC" w:rsidP="00686B03">
      <w:pPr>
        <w:jc w:val="center"/>
        <w:rPr>
          <w:b/>
          <w:szCs w:val="24"/>
        </w:rPr>
      </w:pPr>
    </w:p>
    <w:tbl>
      <w:tblPr>
        <w:tblStyle w:val="aa"/>
        <w:tblW w:w="10207" w:type="dxa"/>
        <w:jc w:val="center"/>
        <w:tblLayout w:type="fixed"/>
        <w:tblLook w:val="04A0" w:firstRow="1" w:lastRow="0" w:firstColumn="1" w:lastColumn="0" w:noHBand="0" w:noVBand="1"/>
      </w:tblPr>
      <w:tblGrid>
        <w:gridCol w:w="2127"/>
        <w:gridCol w:w="1843"/>
        <w:gridCol w:w="1417"/>
        <w:gridCol w:w="2127"/>
        <w:gridCol w:w="1141"/>
        <w:gridCol w:w="1552"/>
      </w:tblGrid>
      <w:tr w:rsidR="00686B03" w:rsidRPr="00F00742" w:rsidTr="00686B03">
        <w:trPr>
          <w:jc w:val="center"/>
        </w:trPr>
        <w:tc>
          <w:tcPr>
            <w:tcW w:w="2127" w:type="dxa"/>
          </w:tcPr>
          <w:p w:rsidR="00686B03" w:rsidRPr="00F00742" w:rsidRDefault="00686B03" w:rsidP="00493A8B">
            <w:pPr>
              <w:jc w:val="center"/>
              <w:rPr>
                <w:sz w:val="26"/>
                <w:szCs w:val="26"/>
              </w:rPr>
            </w:pPr>
          </w:p>
        </w:tc>
        <w:tc>
          <w:tcPr>
            <w:tcW w:w="1843" w:type="dxa"/>
          </w:tcPr>
          <w:p w:rsidR="00686B03" w:rsidRPr="00F00742" w:rsidRDefault="00686B03" w:rsidP="00493A8B">
            <w:pPr>
              <w:jc w:val="center"/>
              <w:rPr>
                <w:b/>
                <w:sz w:val="26"/>
                <w:szCs w:val="26"/>
              </w:rPr>
            </w:pPr>
            <w:r w:rsidRPr="00F00742">
              <w:rPr>
                <w:b/>
                <w:sz w:val="26"/>
                <w:szCs w:val="26"/>
              </w:rPr>
              <w:t>Федеральные заказчики</w:t>
            </w:r>
          </w:p>
        </w:tc>
        <w:tc>
          <w:tcPr>
            <w:tcW w:w="1417" w:type="dxa"/>
          </w:tcPr>
          <w:p w:rsidR="00686B03" w:rsidRPr="00F00742" w:rsidRDefault="00686B03" w:rsidP="00493A8B">
            <w:pPr>
              <w:jc w:val="center"/>
              <w:rPr>
                <w:b/>
                <w:sz w:val="26"/>
                <w:szCs w:val="26"/>
              </w:rPr>
            </w:pPr>
            <w:r w:rsidRPr="00F00742">
              <w:rPr>
                <w:b/>
                <w:sz w:val="26"/>
                <w:szCs w:val="26"/>
              </w:rPr>
              <w:t>Заказчики Субъекта</w:t>
            </w:r>
          </w:p>
        </w:tc>
        <w:tc>
          <w:tcPr>
            <w:tcW w:w="2127" w:type="dxa"/>
          </w:tcPr>
          <w:p w:rsidR="00686B03" w:rsidRPr="00F00742" w:rsidRDefault="00686B03" w:rsidP="00493A8B">
            <w:pPr>
              <w:jc w:val="center"/>
              <w:rPr>
                <w:b/>
                <w:sz w:val="26"/>
                <w:szCs w:val="26"/>
              </w:rPr>
            </w:pPr>
            <w:r w:rsidRPr="00F00742">
              <w:rPr>
                <w:b/>
                <w:sz w:val="26"/>
                <w:szCs w:val="26"/>
              </w:rPr>
              <w:t>Муниципальные заказчики</w:t>
            </w:r>
          </w:p>
        </w:tc>
        <w:tc>
          <w:tcPr>
            <w:tcW w:w="1141" w:type="dxa"/>
          </w:tcPr>
          <w:p w:rsidR="00686B03" w:rsidRPr="00F00742" w:rsidRDefault="00686B03" w:rsidP="00493A8B">
            <w:pPr>
              <w:jc w:val="center"/>
              <w:rPr>
                <w:b/>
                <w:sz w:val="26"/>
                <w:szCs w:val="26"/>
              </w:rPr>
            </w:pPr>
            <w:r w:rsidRPr="00F00742">
              <w:rPr>
                <w:b/>
                <w:sz w:val="26"/>
                <w:szCs w:val="26"/>
              </w:rPr>
              <w:t>Юр. лица</w:t>
            </w:r>
          </w:p>
        </w:tc>
        <w:tc>
          <w:tcPr>
            <w:tcW w:w="1552" w:type="dxa"/>
          </w:tcPr>
          <w:p w:rsidR="00686B03" w:rsidRPr="00F00742" w:rsidRDefault="00686B03" w:rsidP="00493A8B">
            <w:pPr>
              <w:jc w:val="center"/>
              <w:rPr>
                <w:b/>
                <w:sz w:val="26"/>
                <w:szCs w:val="26"/>
              </w:rPr>
            </w:pPr>
            <w:r w:rsidRPr="00F00742">
              <w:rPr>
                <w:b/>
                <w:sz w:val="26"/>
                <w:szCs w:val="26"/>
              </w:rPr>
              <w:t>Всего</w:t>
            </w:r>
          </w:p>
        </w:tc>
      </w:tr>
      <w:tr w:rsidR="00686B03" w:rsidRPr="00F00742" w:rsidTr="00686B03">
        <w:trPr>
          <w:trHeight w:val="850"/>
          <w:jc w:val="center"/>
        </w:trPr>
        <w:tc>
          <w:tcPr>
            <w:tcW w:w="2127" w:type="dxa"/>
          </w:tcPr>
          <w:p w:rsidR="00686B03" w:rsidRPr="00F00742" w:rsidRDefault="00686B03" w:rsidP="00493A8B">
            <w:pPr>
              <w:rPr>
                <w:b/>
                <w:sz w:val="26"/>
                <w:szCs w:val="26"/>
              </w:rPr>
            </w:pPr>
            <w:r w:rsidRPr="00F00742">
              <w:rPr>
                <w:b/>
                <w:sz w:val="26"/>
                <w:szCs w:val="26"/>
              </w:rPr>
              <w:t>Количество постановлений</w:t>
            </w:r>
          </w:p>
        </w:tc>
        <w:tc>
          <w:tcPr>
            <w:tcW w:w="1843" w:type="dxa"/>
          </w:tcPr>
          <w:p w:rsidR="00686B03" w:rsidRPr="00F00742" w:rsidRDefault="00686B03" w:rsidP="00493A8B">
            <w:pPr>
              <w:jc w:val="center"/>
              <w:rPr>
                <w:b/>
                <w:sz w:val="26"/>
                <w:szCs w:val="26"/>
              </w:rPr>
            </w:pPr>
            <w:r w:rsidRPr="00F00742">
              <w:rPr>
                <w:b/>
                <w:sz w:val="26"/>
                <w:szCs w:val="26"/>
              </w:rPr>
              <w:t>67</w:t>
            </w:r>
          </w:p>
          <w:p w:rsidR="00686B03" w:rsidRPr="00F00742" w:rsidRDefault="00686B03" w:rsidP="00493A8B">
            <w:pPr>
              <w:jc w:val="center"/>
              <w:rPr>
                <w:sz w:val="26"/>
                <w:szCs w:val="26"/>
              </w:rPr>
            </w:pPr>
            <w:r w:rsidRPr="00F00742">
              <w:rPr>
                <w:sz w:val="26"/>
                <w:szCs w:val="26"/>
              </w:rPr>
              <w:t>24,5%</w:t>
            </w:r>
          </w:p>
        </w:tc>
        <w:tc>
          <w:tcPr>
            <w:tcW w:w="1417" w:type="dxa"/>
          </w:tcPr>
          <w:p w:rsidR="00686B03" w:rsidRPr="00F00742" w:rsidRDefault="00686B03" w:rsidP="00493A8B">
            <w:pPr>
              <w:jc w:val="center"/>
              <w:rPr>
                <w:b/>
                <w:sz w:val="26"/>
                <w:szCs w:val="26"/>
              </w:rPr>
            </w:pPr>
            <w:r w:rsidRPr="00F00742">
              <w:rPr>
                <w:b/>
                <w:sz w:val="26"/>
                <w:szCs w:val="26"/>
              </w:rPr>
              <w:t>66</w:t>
            </w:r>
          </w:p>
          <w:p w:rsidR="00686B03" w:rsidRPr="00F00742" w:rsidRDefault="00686B03" w:rsidP="00493A8B">
            <w:pPr>
              <w:jc w:val="center"/>
              <w:rPr>
                <w:sz w:val="26"/>
                <w:szCs w:val="26"/>
              </w:rPr>
            </w:pPr>
            <w:r w:rsidRPr="00F00742">
              <w:rPr>
                <w:sz w:val="26"/>
                <w:szCs w:val="26"/>
              </w:rPr>
              <w:t>24,2 %</w:t>
            </w:r>
          </w:p>
        </w:tc>
        <w:tc>
          <w:tcPr>
            <w:tcW w:w="2127" w:type="dxa"/>
          </w:tcPr>
          <w:p w:rsidR="00686B03" w:rsidRPr="00F00742" w:rsidRDefault="00686B03" w:rsidP="00493A8B">
            <w:pPr>
              <w:jc w:val="center"/>
              <w:rPr>
                <w:b/>
                <w:sz w:val="26"/>
                <w:szCs w:val="26"/>
              </w:rPr>
            </w:pPr>
            <w:r w:rsidRPr="00F00742">
              <w:rPr>
                <w:b/>
                <w:sz w:val="26"/>
                <w:szCs w:val="26"/>
              </w:rPr>
              <w:t>136</w:t>
            </w:r>
          </w:p>
          <w:p w:rsidR="00686B03" w:rsidRPr="00F00742" w:rsidRDefault="00686B03" w:rsidP="00493A8B">
            <w:pPr>
              <w:jc w:val="center"/>
              <w:rPr>
                <w:sz w:val="26"/>
                <w:szCs w:val="26"/>
              </w:rPr>
            </w:pPr>
            <w:r w:rsidRPr="00F00742">
              <w:rPr>
                <w:sz w:val="26"/>
                <w:szCs w:val="26"/>
              </w:rPr>
              <w:t>49,8%</w:t>
            </w:r>
          </w:p>
        </w:tc>
        <w:tc>
          <w:tcPr>
            <w:tcW w:w="1141" w:type="dxa"/>
          </w:tcPr>
          <w:p w:rsidR="00686B03" w:rsidRPr="00F00742" w:rsidRDefault="00686B03" w:rsidP="00493A8B">
            <w:pPr>
              <w:jc w:val="center"/>
              <w:rPr>
                <w:b/>
                <w:sz w:val="26"/>
                <w:szCs w:val="26"/>
              </w:rPr>
            </w:pPr>
            <w:r w:rsidRPr="00F00742">
              <w:rPr>
                <w:b/>
                <w:sz w:val="26"/>
                <w:szCs w:val="26"/>
              </w:rPr>
              <w:t>4</w:t>
            </w:r>
          </w:p>
          <w:p w:rsidR="00686B03" w:rsidRPr="00F00742" w:rsidRDefault="00686B03" w:rsidP="00493A8B">
            <w:pPr>
              <w:jc w:val="center"/>
              <w:rPr>
                <w:sz w:val="26"/>
                <w:szCs w:val="26"/>
              </w:rPr>
            </w:pPr>
            <w:r w:rsidRPr="00F00742">
              <w:rPr>
                <w:sz w:val="26"/>
                <w:szCs w:val="26"/>
              </w:rPr>
              <w:t>1,5%</w:t>
            </w:r>
          </w:p>
        </w:tc>
        <w:tc>
          <w:tcPr>
            <w:tcW w:w="1552" w:type="dxa"/>
          </w:tcPr>
          <w:p w:rsidR="00686B03" w:rsidRPr="00F00742" w:rsidRDefault="00686B03" w:rsidP="00493A8B">
            <w:pPr>
              <w:jc w:val="center"/>
              <w:rPr>
                <w:b/>
                <w:sz w:val="26"/>
                <w:szCs w:val="26"/>
              </w:rPr>
            </w:pPr>
            <w:r w:rsidRPr="00F00742">
              <w:rPr>
                <w:b/>
                <w:sz w:val="26"/>
                <w:szCs w:val="26"/>
              </w:rPr>
              <w:t>273</w:t>
            </w:r>
          </w:p>
        </w:tc>
      </w:tr>
      <w:tr w:rsidR="00686B03" w:rsidRPr="00F00742" w:rsidTr="00686B03">
        <w:trPr>
          <w:trHeight w:val="834"/>
          <w:jc w:val="center"/>
        </w:trPr>
        <w:tc>
          <w:tcPr>
            <w:tcW w:w="2127" w:type="dxa"/>
          </w:tcPr>
          <w:p w:rsidR="00686B03" w:rsidRPr="00F00742" w:rsidRDefault="00686B03" w:rsidP="00493A8B">
            <w:pPr>
              <w:rPr>
                <w:b/>
                <w:sz w:val="26"/>
                <w:szCs w:val="26"/>
              </w:rPr>
            </w:pPr>
            <w:r w:rsidRPr="00F00742">
              <w:rPr>
                <w:b/>
                <w:sz w:val="26"/>
                <w:szCs w:val="26"/>
              </w:rPr>
              <w:t>Сумма (руб.)</w:t>
            </w:r>
          </w:p>
        </w:tc>
        <w:tc>
          <w:tcPr>
            <w:tcW w:w="1843" w:type="dxa"/>
          </w:tcPr>
          <w:p w:rsidR="00686B03" w:rsidRPr="00F00742" w:rsidRDefault="00686B03" w:rsidP="00493A8B">
            <w:pPr>
              <w:jc w:val="center"/>
              <w:rPr>
                <w:b/>
                <w:sz w:val="26"/>
                <w:szCs w:val="26"/>
              </w:rPr>
            </w:pPr>
            <w:r w:rsidRPr="00F00742">
              <w:rPr>
                <w:b/>
                <w:sz w:val="26"/>
                <w:szCs w:val="26"/>
              </w:rPr>
              <w:t>574 711</w:t>
            </w:r>
          </w:p>
          <w:p w:rsidR="00686B03" w:rsidRPr="00F00742" w:rsidRDefault="00686B03" w:rsidP="00493A8B">
            <w:pPr>
              <w:jc w:val="center"/>
              <w:rPr>
                <w:sz w:val="26"/>
                <w:szCs w:val="26"/>
              </w:rPr>
            </w:pPr>
            <w:r w:rsidRPr="00F00742">
              <w:rPr>
                <w:sz w:val="26"/>
                <w:szCs w:val="26"/>
              </w:rPr>
              <w:t>14,6%</w:t>
            </w:r>
          </w:p>
        </w:tc>
        <w:tc>
          <w:tcPr>
            <w:tcW w:w="1417" w:type="dxa"/>
          </w:tcPr>
          <w:p w:rsidR="00686B03" w:rsidRPr="00F00742" w:rsidRDefault="00686B03" w:rsidP="00493A8B">
            <w:pPr>
              <w:jc w:val="center"/>
              <w:rPr>
                <w:b/>
                <w:sz w:val="26"/>
                <w:szCs w:val="26"/>
              </w:rPr>
            </w:pPr>
            <w:r w:rsidRPr="00F00742">
              <w:rPr>
                <w:b/>
                <w:sz w:val="26"/>
                <w:szCs w:val="26"/>
              </w:rPr>
              <w:t>915 285,47</w:t>
            </w:r>
          </w:p>
          <w:p w:rsidR="00686B03" w:rsidRPr="00F00742" w:rsidRDefault="00686B03" w:rsidP="00493A8B">
            <w:pPr>
              <w:jc w:val="center"/>
              <w:rPr>
                <w:sz w:val="26"/>
                <w:szCs w:val="26"/>
              </w:rPr>
            </w:pPr>
            <w:r w:rsidRPr="00F00742">
              <w:rPr>
                <w:sz w:val="26"/>
                <w:szCs w:val="26"/>
              </w:rPr>
              <w:t>23,2 %</w:t>
            </w:r>
          </w:p>
        </w:tc>
        <w:tc>
          <w:tcPr>
            <w:tcW w:w="2127" w:type="dxa"/>
          </w:tcPr>
          <w:p w:rsidR="00686B03" w:rsidRPr="00F00742" w:rsidRDefault="00686B03" w:rsidP="00493A8B">
            <w:pPr>
              <w:jc w:val="center"/>
              <w:rPr>
                <w:b/>
                <w:sz w:val="26"/>
                <w:szCs w:val="26"/>
              </w:rPr>
            </w:pPr>
            <w:r w:rsidRPr="00F00742">
              <w:rPr>
                <w:b/>
                <w:sz w:val="26"/>
                <w:szCs w:val="26"/>
              </w:rPr>
              <w:t>2 370 244,06</w:t>
            </w:r>
          </w:p>
          <w:p w:rsidR="00686B03" w:rsidRPr="00F00742" w:rsidRDefault="00686B03" w:rsidP="00493A8B">
            <w:pPr>
              <w:jc w:val="center"/>
              <w:rPr>
                <w:sz w:val="26"/>
                <w:szCs w:val="26"/>
              </w:rPr>
            </w:pPr>
            <w:r w:rsidRPr="00F00742">
              <w:rPr>
                <w:sz w:val="26"/>
                <w:szCs w:val="26"/>
              </w:rPr>
              <w:t>60,2 %</w:t>
            </w:r>
          </w:p>
        </w:tc>
        <w:tc>
          <w:tcPr>
            <w:tcW w:w="1141" w:type="dxa"/>
          </w:tcPr>
          <w:p w:rsidR="00686B03" w:rsidRPr="00F00742" w:rsidRDefault="00686B03" w:rsidP="00493A8B">
            <w:pPr>
              <w:jc w:val="center"/>
              <w:rPr>
                <w:b/>
                <w:sz w:val="26"/>
                <w:szCs w:val="26"/>
              </w:rPr>
            </w:pPr>
            <w:r w:rsidRPr="00F00742">
              <w:rPr>
                <w:b/>
                <w:sz w:val="26"/>
                <w:szCs w:val="26"/>
              </w:rPr>
              <w:t>80 000</w:t>
            </w:r>
          </w:p>
          <w:p w:rsidR="00686B03" w:rsidRPr="00F00742" w:rsidRDefault="00686B03" w:rsidP="00493A8B">
            <w:pPr>
              <w:jc w:val="center"/>
              <w:rPr>
                <w:sz w:val="26"/>
                <w:szCs w:val="26"/>
              </w:rPr>
            </w:pPr>
            <w:r w:rsidRPr="00F00742">
              <w:rPr>
                <w:sz w:val="26"/>
                <w:szCs w:val="26"/>
              </w:rPr>
              <w:t>2%</w:t>
            </w:r>
          </w:p>
        </w:tc>
        <w:tc>
          <w:tcPr>
            <w:tcW w:w="1552" w:type="dxa"/>
          </w:tcPr>
          <w:p w:rsidR="00686B03" w:rsidRPr="00F00742" w:rsidRDefault="00686B03" w:rsidP="00493A8B">
            <w:pPr>
              <w:jc w:val="center"/>
              <w:rPr>
                <w:b/>
                <w:sz w:val="26"/>
                <w:szCs w:val="26"/>
              </w:rPr>
            </w:pPr>
            <w:r w:rsidRPr="00F00742">
              <w:rPr>
                <w:b/>
                <w:sz w:val="26"/>
                <w:szCs w:val="26"/>
              </w:rPr>
              <w:t>3 940 240,53</w:t>
            </w:r>
          </w:p>
        </w:tc>
      </w:tr>
    </w:tbl>
    <w:p w:rsidR="00686B03" w:rsidRDefault="00686B03" w:rsidP="00686B03">
      <w:pPr>
        <w:jc w:val="center"/>
        <w:rPr>
          <w:szCs w:val="24"/>
        </w:rPr>
      </w:pPr>
    </w:p>
    <w:p w:rsidR="00686B03" w:rsidRPr="00686B03" w:rsidRDefault="00686B03" w:rsidP="00F00742">
      <w:pPr>
        <w:ind w:firstLine="709"/>
        <w:jc w:val="both"/>
        <w:rPr>
          <w:szCs w:val="24"/>
        </w:rPr>
      </w:pPr>
      <w:r w:rsidRPr="00686B03">
        <w:rPr>
          <w:szCs w:val="24"/>
        </w:rPr>
        <w:t xml:space="preserve">273 постановлений выдано на сумму 3 940 240,53 рублей. Оплачено </w:t>
      </w:r>
      <w:r w:rsidRPr="00686B03">
        <w:rPr>
          <w:rFonts w:eastAsia="Calibri"/>
          <w:color w:val="000000"/>
          <w:szCs w:val="24"/>
        </w:rPr>
        <w:t>3 857 400</w:t>
      </w:r>
      <w:r w:rsidRPr="00686B03">
        <w:rPr>
          <w:szCs w:val="24"/>
        </w:rPr>
        <w:t xml:space="preserve"> рублей (с учетом исполненных постановлений, выданных в предыдущих периодах)</w:t>
      </w:r>
    </w:p>
    <w:p w:rsidR="00686B03" w:rsidRPr="00686B03" w:rsidRDefault="00686B03" w:rsidP="00F00742">
      <w:pPr>
        <w:ind w:firstLine="709"/>
        <w:jc w:val="both"/>
        <w:rPr>
          <w:b/>
          <w:szCs w:val="24"/>
        </w:rPr>
      </w:pPr>
    </w:p>
    <w:p w:rsidR="00686B03" w:rsidRPr="00686B03" w:rsidRDefault="00686B03" w:rsidP="00686B03">
      <w:pPr>
        <w:jc w:val="center"/>
        <w:rPr>
          <w:b/>
          <w:szCs w:val="24"/>
        </w:rPr>
      </w:pPr>
      <w:r w:rsidRPr="00686B03">
        <w:rPr>
          <w:b/>
          <w:szCs w:val="24"/>
        </w:rPr>
        <w:t xml:space="preserve">Рассмотренные жалобы и проведенные проверки в разрезе по уровням заказчиков </w:t>
      </w:r>
    </w:p>
    <w:p w:rsidR="00686B03" w:rsidRPr="00732A30" w:rsidRDefault="00686B03" w:rsidP="00686B03">
      <w:pPr>
        <w:jc w:val="center"/>
        <w:rPr>
          <w:b/>
          <w:sz w:val="24"/>
          <w:szCs w:val="24"/>
        </w:rPr>
      </w:pPr>
    </w:p>
    <w:tbl>
      <w:tblPr>
        <w:tblStyle w:val="aa"/>
        <w:tblW w:w="0" w:type="auto"/>
        <w:jc w:val="center"/>
        <w:tblLook w:val="04A0" w:firstRow="1" w:lastRow="0" w:firstColumn="1" w:lastColumn="0" w:noHBand="0" w:noVBand="1"/>
      </w:tblPr>
      <w:tblGrid>
        <w:gridCol w:w="1559"/>
        <w:gridCol w:w="2173"/>
        <w:gridCol w:w="2048"/>
        <w:gridCol w:w="2222"/>
        <w:gridCol w:w="1569"/>
      </w:tblGrid>
      <w:tr w:rsidR="00686B03" w:rsidRPr="00C50EC5" w:rsidTr="00F00742">
        <w:trPr>
          <w:jc w:val="center"/>
        </w:trPr>
        <w:tc>
          <w:tcPr>
            <w:tcW w:w="1563" w:type="dxa"/>
            <w:vAlign w:val="center"/>
          </w:tcPr>
          <w:p w:rsidR="00686B03" w:rsidRPr="00C50EC5" w:rsidRDefault="00686B03" w:rsidP="00493A8B">
            <w:pPr>
              <w:jc w:val="center"/>
              <w:rPr>
                <w:b/>
                <w:sz w:val="26"/>
                <w:szCs w:val="26"/>
              </w:rPr>
            </w:pPr>
          </w:p>
        </w:tc>
        <w:tc>
          <w:tcPr>
            <w:tcW w:w="2180" w:type="dxa"/>
            <w:vAlign w:val="center"/>
          </w:tcPr>
          <w:p w:rsidR="00686B03" w:rsidRPr="00C50EC5" w:rsidRDefault="00686B03" w:rsidP="00493A8B">
            <w:pPr>
              <w:jc w:val="center"/>
              <w:rPr>
                <w:b/>
                <w:sz w:val="26"/>
                <w:szCs w:val="26"/>
              </w:rPr>
            </w:pPr>
            <w:r w:rsidRPr="00C50EC5">
              <w:rPr>
                <w:b/>
                <w:sz w:val="26"/>
                <w:szCs w:val="26"/>
              </w:rPr>
              <w:t>Федеральные заказчики</w:t>
            </w:r>
          </w:p>
        </w:tc>
        <w:tc>
          <w:tcPr>
            <w:tcW w:w="2060" w:type="dxa"/>
            <w:vAlign w:val="center"/>
          </w:tcPr>
          <w:p w:rsidR="00686B03" w:rsidRPr="00C50EC5" w:rsidRDefault="00686B03" w:rsidP="00493A8B">
            <w:pPr>
              <w:jc w:val="center"/>
              <w:rPr>
                <w:b/>
                <w:sz w:val="26"/>
                <w:szCs w:val="26"/>
              </w:rPr>
            </w:pPr>
            <w:r w:rsidRPr="00C50EC5">
              <w:rPr>
                <w:b/>
                <w:sz w:val="26"/>
                <w:szCs w:val="26"/>
              </w:rPr>
              <w:t>Заказчики Субъекта</w:t>
            </w:r>
          </w:p>
        </w:tc>
        <w:tc>
          <w:tcPr>
            <w:tcW w:w="2185" w:type="dxa"/>
            <w:vAlign w:val="center"/>
          </w:tcPr>
          <w:p w:rsidR="00686B03" w:rsidRPr="00C50EC5" w:rsidRDefault="00686B03" w:rsidP="00493A8B">
            <w:pPr>
              <w:jc w:val="center"/>
              <w:rPr>
                <w:b/>
                <w:sz w:val="26"/>
                <w:szCs w:val="26"/>
              </w:rPr>
            </w:pPr>
            <w:r w:rsidRPr="00C50EC5">
              <w:rPr>
                <w:b/>
                <w:sz w:val="26"/>
                <w:szCs w:val="26"/>
              </w:rPr>
              <w:t>Муниципальные заказчики</w:t>
            </w:r>
          </w:p>
        </w:tc>
        <w:tc>
          <w:tcPr>
            <w:tcW w:w="1583" w:type="dxa"/>
            <w:vAlign w:val="center"/>
          </w:tcPr>
          <w:p w:rsidR="00686B03" w:rsidRPr="00C50EC5" w:rsidRDefault="00686B03" w:rsidP="00493A8B">
            <w:pPr>
              <w:jc w:val="center"/>
              <w:rPr>
                <w:b/>
                <w:sz w:val="26"/>
                <w:szCs w:val="26"/>
              </w:rPr>
            </w:pPr>
            <w:r w:rsidRPr="00C50EC5">
              <w:rPr>
                <w:b/>
                <w:sz w:val="26"/>
                <w:szCs w:val="26"/>
              </w:rPr>
              <w:t>Всего</w:t>
            </w:r>
          </w:p>
        </w:tc>
      </w:tr>
      <w:tr w:rsidR="00686B03" w:rsidRPr="00C50EC5" w:rsidTr="00F00742">
        <w:trPr>
          <w:trHeight w:val="850"/>
          <w:jc w:val="center"/>
        </w:trPr>
        <w:tc>
          <w:tcPr>
            <w:tcW w:w="1563" w:type="dxa"/>
            <w:vAlign w:val="center"/>
          </w:tcPr>
          <w:p w:rsidR="00686B03" w:rsidRPr="00C50EC5" w:rsidRDefault="00686B03" w:rsidP="00493A8B">
            <w:pPr>
              <w:jc w:val="center"/>
              <w:rPr>
                <w:b/>
                <w:sz w:val="26"/>
                <w:szCs w:val="26"/>
              </w:rPr>
            </w:pPr>
            <w:r w:rsidRPr="00C50EC5">
              <w:rPr>
                <w:b/>
                <w:sz w:val="26"/>
                <w:szCs w:val="26"/>
              </w:rPr>
              <w:t>Жалобы</w:t>
            </w:r>
          </w:p>
        </w:tc>
        <w:tc>
          <w:tcPr>
            <w:tcW w:w="2180" w:type="dxa"/>
            <w:vAlign w:val="center"/>
          </w:tcPr>
          <w:p w:rsidR="00686B03" w:rsidRPr="00C50EC5" w:rsidRDefault="00686B03" w:rsidP="00493A8B">
            <w:pPr>
              <w:jc w:val="center"/>
              <w:rPr>
                <w:b/>
                <w:sz w:val="26"/>
                <w:szCs w:val="26"/>
              </w:rPr>
            </w:pPr>
            <w:r w:rsidRPr="00C50EC5">
              <w:rPr>
                <w:b/>
                <w:sz w:val="26"/>
                <w:szCs w:val="26"/>
              </w:rPr>
              <w:t>87</w:t>
            </w:r>
          </w:p>
          <w:p w:rsidR="00686B03" w:rsidRPr="00C50EC5" w:rsidRDefault="00686B03" w:rsidP="00493A8B">
            <w:pPr>
              <w:jc w:val="center"/>
              <w:rPr>
                <w:sz w:val="26"/>
                <w:szCs w:val="26"/>
              </w:rPr>
            </w:pPr>
            <w:r w:rsidRPr="00C50EC5">
              <w:rPr>
                <w:b/>
                <w:sz w:val="26"/>
                <w:szCs w:val="26"/>
              </w:rPr>
              <w:t>(28,2%)</w:t>
            </w:r>
          </w:p>
        </w:tc>
        <w:tc>
          <w:tcPr>
            <w:tcW w:w="2060" w:type="dxa"/>
            <w:vAlign w:val="center"/>
          </w:tcPr>
          <w:p w:rsidR="00686B03" w:rsidRPr="00C50EC5" w:rsidRDefault="00686B03" w:rsidP="00493A8B">
            <w:pPr>
              <w:jc w:val="center"/>
              <w:rPr>
                <w:b/>
                <w:sz w:val="26"/>
                <w:szCs w:val="26"/>
              </w:rPr>
            </w:pPr>
            <w:r w:rsidRPr="00C50EC5">
              <w:rPr>
                <w:b/>
                <w:sz w:val="26"/>
                <w:szCs w:val="26"/>
              </w:rPr>
              <w:t>157</w:t>
            </w:r>
          </w:p>
          <w:p w:rsidR="00686B03" w:rsidRPr="00C50EC5" w:rsidRDefault="00686B03" w:rsidP="00493A8B">
            <w:pPr>
              <w:jc w:val="center"/>
              <w:rPr>
                <w:sz w:val="26"/>
                <w:szCs w:val="26"/>
              </w:rPr>
            </w:pPr>
            <w:r w:rsidRPr="00C50EC5">
              <w:rPr>
                <w:b/>
                <w:sz w:val="26"/>
                <w:szCs w:val="26"/>
              </w:rPr>
              <w:t>(50,8 %)</w:t>
            </w:r>
          </w:p>
        </w:tc>
        <w:tc>
          <w:tcPr>
            <w:tcW w:w="2185" w:type="dxa"/>
            <w:vAlign w:val="center"/>
          </w:tcPr>
          <w:p w:rsidR="00686B03" w:rsidRPr="00C50EC5" w:rsidRDefault="00686B03" w:rsidP="00493A8B">
            <w:pPr>
              <w:jc w:val="center"/>
              <w:rPr>
                <w:b/>
                <w:sz w:val="26"/>
                <w:szCs w:val="26"/>
              </w:rPr>
            </w:pPr>
            <w:r w:rsidRPr="00C50EC5">
              <w:rPr>
                <w:b/>
                <w:sz w:val="26"/>
                <w:szCs w:val="26"/>
              </w:rPr>
              <w:t>65</w:t>
            </w:r>
          </w:p>
          <w:p w:rsidR="00686B03" w:rsidRPr="00C50EC5" w:rsidRDefault="00686B03" w:rsidP="00493A8B">
            <w:pPr>
              <w:jc w:val="center"/>
              <w:rPr>
                <w:sz w:val="26"/>
                <w:szCs w:val="26"/>
              </w:rPr>
            </w:pPr>
            <w:r w:rsidRPr="00C50EC5">
              <w:rPr>
                <w:b/>
                <w:sz w:val="26"/>
                <w:szCs w:val="26"/>
              </w:rPr>
              <w:t xml:space="preserve"> (21 %)</w:t>
            </w:r>
          </w:p>
        </w:tc>
        <w:tc>
          <w:tcPr>
            <w:tcW w:w="1583" w:type="dxa"/>
            <w:vAlign w:val="center"/>
          </w:tcPr>
          <w:p w:rsidR="00686B03" w:rsidRPr="00C50EC5" w:rsidRDefault="00686B03" w:rsidP="00493A8B">
            <w:pPr>
              <w:jc w:val="center"/>
              <w:rPr>
                <w:b/>
                <w:sz w:val="26"/>
                <w:szCs w:val="26"/>
              </w:rPr>
            </w:pPr>
            <w:r w:rsidRPr="00C50EC5">
              <w:rPr>
                <w:b/>
                <w:sz w:val="26"/>
                <w:szCs w:val="26"/>
              </w:rPr>
              <w:t>309</w:t>
            </w:r>
          </w:p>
        </w:tc>
      </w:tr>
      <w:tr w:rsidR="00686B03" w:rsidRPr="00C50EC5" w:rsidTr="00F00742">
        <w:trPr>
          <w:trHeight w:val="850"/>
          <w:jc w:val="center"/>
        </w:trPr>
        <w:tc>
          <w:tcPr>
            <w:tcW w:w="1563" w:type="dxa"/>
            <w:vAlign w:val="center"/>
          </w:tcPr>
          <w:p w:rsidR="00686B03" w:rsidRPr="00C50EC5" w:rsidRDefault="00686B03" w:rsidP="00493A8B">
            <w:pPr>
              <w:jc w:val="center"/>
              <w:rPr>
                <w:b/>
                <w:sz w:val="26"/>
                <w:szCs w:val="26"/>
              </w:rPr>
            </w:pPr>
            <w:r w:rsidRPr="00C50EC5">
              <w:rPr>
                <w:b/>
                <w:sz w:val="26"/>
                <w:szCs w:val="26"/>
              </w:rPr>
              <w:t>Проверки</w:t>
            </w:r>
          </w:p>
        </w:tc>
        <w:tc>
          <w:tcPr>
            <w:tcW w:w="2180" w:type="dxa"/>
            <w:vAlign w:val="center"/>
          </w:tcPr>
          <w:p w:rsidR="00686B03" w:rsidRPr="00C50EC5" w:rsidRDefault="00686B03" w:rsidP="00493A8B">
            <w:pPr>
              <w:jc w:val="center"/>
              <w:rPr>
                <w:b/>
                <w:sz w:val="26"/>
                <w:szCs w:val="26"/>
              </w:rPr>
            </w:pPr>
            <w:r w:rsidRPr="00C50EC5">
              <w:rPr>
                <w:b/>
                <w:sz w:val="26"/>
                <w:szCs w:val="26"/>
              </w:rPr>
              <w:t>7</w:t>
            </w:r>
          </w:p>
          <w:p w:rsidR="00686B03" w:rsidRPr="00C50EC5" w:rsidRDefault="00686B03" w:rsidP="00493A8B">
            <w:pPr>
              <w:jc w:val="center"/>
              <w:rPr>
                <w:b/>
                <w:sz w:val="26"/>
                <w:szCs w:val="26"/>
              </w:rPr>
            </w:pPr>
            <w:r w:rsidRPr="00C50EC5">
              <w:rPr>
                <w:b/>
                <w:sz w:val="26"/>
                <w:szCs w:val="26"/>
              </w:rPr>
              <w:t>(46,7%)</w:t>
            </w:r>
          </w:p>
        </w:tc>
        <w:tc>
          <w:tcPr>
            <w:tcW w:w="2060" w:type="dxa"/>
            <w:vAlign w:val="center"/>
          </w:tcPr>
          <w:p w:rsidR="00686B03" w:rsidRPr="00C50EC5" w:rsidRDefault="00686B03" w:rsidP="00493A8B">
            <w:pPr>
              <w:jc w:val="center"/>
              <w:rPr>
                <w:b/>
                <w:sz w:val="26"/>
                <w:szCs w:val="26"/>
              </w:rPr>
            </w:pPr>
            <w:r w:rsidRPr="00C50EC5">
              <w:rPr>
                <w:b/>
                <w:sz w:val="26"/>
                <w:szCs w:val="26"/>
              </w:rPr>
              <w:t>7</w:t>
            </w:r>
          </w:p>
          <w:p w:rsidR="00686B03" w:rsidRPr="00C50EC5" w:rsidRDefault="00686B03" w:rsidP="00493A8B">
            <w:pPr>
              <w:jc w:val="center"/>
              <w:rPr>
                <w:b/>
                <w:sz w:val="26"/>
                <w:szCs w:val="26"/>
              </w:rPr>
            </w:pPr>
            <w:r w:rsidRPr="00C50EC5">
              <w:rPr>
                <w:b/>
                <w:sz w:val="26"/>
                <w:szCs w:val="26"/>
              </w:rPr>
              <w:t>(46,7%)</w:t>
            </w:r>
          </w:p>
        </w:tc>
        <w:tc>
          <w:tcPr>
            <w:tcW w:w="2185" w:type="dxa"/>
            <w:vAlign w:val="center"/>
          </w:tcPr>
          <w:p w:rsidR="00686B03" w:rsidRPr="00C50EC5" w:rsidRDefault="00686B03" w:rsidP="00493A8B">
            <w:pPr>
              <w:jc w:val="center"/>
              <w:rPr>
                <w:b/>
                <w:sz w:val="26"/>
                <w:szCs w:val="26"/>
              </w:rPr>
            </w:pPr>
            <w:r w:rsidRPr="00C50EC5">
              <w:rPr>
                <w:b/>
                <w:sz w:val="26"/>
                <w:szCs w:val="26"/>
              </w:rPr>
              <w:t>1</w:t>
            </w:r>
          </w:p>
          <w:p w:rsidR="00686B03" w:rsidRPr="00C50EC5" w:rsidRDefault="00686B03" w:rsidP="00493A8B">
            <w:pPr>
              <w:jc w:val="center"/>
              <w:rPr>
                <w:b/>
                <w:sz w:val="26"/>
                <w:szCs w:val="26"/>
              </w:rPr>
            </w:pPr>
            <w:r w:rsidRPr="00C50EC5">
              <w:rPr>
                <w:b/>
                <w:sz w:val="26"/>
                <w:szCs w:val="26"/>
              </w:rPr>
              <w:t>6,6%)</w:t>
            </w:r>
          </w:p>
        </w:tc>
        <w:tc>
          <w:tcPr>
            <w:tcW w:w="1583" w:type="dxa"/>
            <w:vAlign w:val="center"/>
          </w:tcPr>
          <w:p w:rsidR="00686B03" w:rsidRPr="00C50EC5" w:rsidRDefault="00686B03" w:rsidP="00493A8B">
            <w:pPr>
              <w:jc w:val="center"/>
              <w:rPr>
                <w:b/>
                <w:sz w:val="26"/>
                <w:szCs w:val="26"/>
              </w:rPr>
            </w:pPr>
            <w:r w:rsidRPr="00C50EC5">
              <w:rPr>
                <w:b/>
                <w:sz w:val="26"/>
                <w:szCs w:val="26"/>
              </w:rPr>
              <w:t>15</w:t>
            </w:r>
          </w:p>
        </w:tc>
      </w:tr>
    </w:tbl>
    <w:p w:rsidR="00A552F3" w:rsidRDefault="00A552F3" w:rsidP="00686B03">
      <w:pPr>
        <w:pStyle w:val="a9"/>
        <w:shd w:val="clear" w:color="auto" w:fill="FFFFFF"/>
        <w:spacing w:before="0" w:beforeAutospacing="0" w:after="0" w:afterAutospacing="0" w:line="276" w:lineRule="auto"/>
        <w:ind w:firstLine="709"/>
        <w:jc w:val="both"/>
        <w:textAlignment w:val="baseline"/>
        <w:rPr>
          <w:rStyle w:val="ad"/>
          <w:b/>
          <w:bCs/>
          <w:color w:val="000000"/>
          <w:sz w:val="28"/>
          <w:szCs w:val="28"/>
          <w:bdr w:val="none" w:sz="0" w:space="0" w:color="auto" w:frame="1"/>
        </w:rPr>
      </w:pPr>
    </w:p>
    <w:p w:rsidR="00686B03" w:rsidRPr="00686B03" w:rsidRDefault="00686B03" w:rsidP="00686B03">
      <w:pPr>
        <w:pStyle w:val="a9"/>
        <w:shd w:val="clear" w:color="auto" w:fill="FFFFFF"/>
        <w:spacing w:before="0" w:beforeAutospacing="0" w:after="0" w:afterAutospacing="0" w:line="276" w:lineRule="auto"/>
        <w:ind w:firstLine="709"/>
        <w:jc w:val="both"/>
        <w:textAlignment w:val="baseline"/>
        <w:rPr>
          <w:i/>
          <w:color w:val="000000"/>
          <w:sz w:val="28"/>
          <w:szCs w:val="28"/>
        </w:rPr>
      </w:pPr>
      <w:r w:rsidRPr="00686B03">
        <w:rPr>
          <w:rStyle w:val="ad"/>
          <w:b/>
          <w:bCs/>
          <w:color w:val="000000"/>
          <w:sz w:val="28"/>
          <w:szCs w:val="28"/>
          <w:bdr w:val="none" w:sz="0" w:space="0" w:color="auto" w:frame="1"/>
        </w:rPr>
        <w:lastRenderedPageBreak/>
        <w:t>В конце декабря прошлого года Президент Российской Федерации подписал ряд законопроектов, содержащих положения о внесении изменений в законодательство о контрактной системе</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 xml:space="preserve">Федеральным законом от 27 декабря 2019 г. № 449-ФЗ в Закон № 44-ФЗ внесены изменения, основными из которых являются следующие: </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b/>
          <w:szCs w:val="28"/>
        </w:rPr>
      </w:pPr>
      <w:r w:rsidRPr="00686B03">
        <w:rPr>
          <w:b/>
          <w:szCs w:val="28"/>
        </w:rPr>
        <w:t>I. Изменения, вступившие в силу 1 января 2020 г.:</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страна происхождения товара должна указываться участником в заявке не только при применении заказчиком актов об импортозамещении, но и во всех случаях закупок товаров, в том числе и тогда, когда товар передается заказчику (используется) при выполнении работ, оказании услуг (кроме закупок, в которых техническим заданием выступает проектная документация).</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b/>
          <w:szCs w:val="28"/>
        </w:rPr>
      </w:pPr>
      <w:r w:rsidRPr="00686B03">
        <w:rPr>
          <w:b/>
          <w:szCs w:val="28"/>
        </w:rPr>
        <w:t>II. Изменения, вступившие в силу с 8 января 2020 г.:</w:t>
      </w:r>
    </w:p>
    <w:p w:rsidR="00686B03" w:rsidRPr="00686B03" w:rsidRDefault="00686B03" w:rsidP="00686B03">
      <w:pPr>
        <w:spacing w:line="276" w:lineRule="auto"/>
        <w:ind w:firstLine="709"/>
        <w:jc w:val="both"/>
        <w:rPr>
          <w:b/>
          <w:szCs w:val="28"/>
        </w:rPr>
      </w:pPr>
    </w:p>
    <w:p w:rsidR="00686B03" w:rsidRPr="00686B03" w:rsidRDefault="00686B03" w:rsidP="00686B03">
      <w:pPr>
        <w:spacing w:line="276" w:lineRule="auto"/>
        <w:ind w:firstLine="709"/>
        <w:jc w:val="both"/>
        <w:rPr>
          <w:szCs w:val="28"/>
        </w:rPr>
      </w:pPr>
      <w:r w:rsidRPr="00686B03">
        <w:rPr>
          <w:szCs w:val="28"/>
        </w:rPr>
        <w:t>– в отношении закупок в сфере строительства, реализуемых в рамках национальных проектов, вводятся особенности обоснования НМЦК и изменения существенных условий контрактов. Помимо этого, указанные закупки можно будет осуществлять «под ключ». Статья 112 Закона № 44-ФЗ дополнена частями 55–63, предусматривающими, что в целях реализации национальных проектов, перечень которых утвержден указом Президента РФ, Правительство РФ, высшие исполнительные органы государственной власти субъектов РФ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указанной статьи.</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 xml:space="preserve"> –помимо случаев, установленных Правительством РФ, контракт жизненного цикла можно будет заключать при закупке новых машин и оборудования.</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b/>
          <w:szCs w:val="28"/>
        </w:rPr>
      </w:pPr>
      <w:r w:rsidRPr="00686B03">
        <w:rPr>
          <w:b/>
          <w:szCs w:val="28"/>
        </w:rPr>
        <w:t>III. Изменения, вступающие в силу с 1 июля 2020 г.:</w:t>
      </w:r>
    </w:p>
    <w:p w:rsidR="00686B03" w:rsidRPr="00686B03" w:rsidRDefault="00686B03" w:rsidP="00686B03">
      <w:pPr>
        <w:spacing w:line="276" w:lineRule="auto"/>
        <w:ind w:firstLine="709"/>
        <w:jc w:val="both"/>
        <w:rPr>
          <w:szCs w:val="28"/>
        </w:rPr>
      </w:pPr>
      <w:r w:rsidRPr="00686B03">
        <w:rPr>
          <w:szCs w:val="28"/>
        </w:rPr>
        <w:lastRenderedPageBreak/>
        <w:t xml:space="preserve">1) устанавливается новый порядок проведения запроса котировок в электронной форме, в том числе: </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 с 500 000 до 3 000 000 рублей повышается порог НМЦК, при этом ограничение относительно годового объема закупок, который можно осуществлять путем проведения электронного запроса котировок, останется практически без изменений: годовой объем закупок с помощью электронного запроса котировок будет составлять не более 10% от совокупного годового объема закупок заказчика, но существующий в настоящее время лимит в 100 млн руб. отменят; срок подачи заявок сокращен с 7 до 4-х рабочих дней.</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 xml:space="preserve">– появляется возможность предусмотреть односторонний отказ от исполнения контракта; </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–пересмотрены требования к составу и содержанию заявок (например, появилась возможность требовать копию лицензии и иных документов, подтверждающих соответствие участника п. 1 ч. 1 ст. 31 Закона № 44-ФЗ);</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–значительно ускорена процедура заключения контракта: заключить контракт можно будет через 2 рабочих дня со дня размещения итогового протокола;</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 xml:space="preserve">–в случае, если на участие в электронном запросе котировок была подана или осталась 1 заявка, то продлевать срок подачи заявок не потребуется; </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2) по п. 4 и п. 5 ч. 1 ст. 93 Закона № 44-ФЗ:</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w:t>
      </w:r>
      <w:r w:rsidR="00F00742">
        <w:rPr>
          <w:szCs w:val="28"/>
        </w:rPr>
        <w:t xml:space="preserve"> </w:t>
      </w:r>
      <w:r w:rsidRPr="00686B03">
        <w:rPr>
          <w:szCs w:val="28"/>
        </w:rPr>
        <w:t>можно закупать товары на сумму до 3 000 000 рублей, если такие закупки проведены посредством электронной площадки, при этом ограничение относительно годового объема закупок, который можно осуществлять путем проведения таких закупок, останется без изменений;</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w:t>
      </w:r>
      <w:r w:rsidR="00F00742">
        <w:rPr>
          <w:szCs w:val="28"/>
        </w:rPr>
        <w:t xml:space="preserve"> </w:t>
      </w:r>
      <w:r w:rsidRPr="00686B03">
        <w:rPr>
          <w:szCs w:val="28"/>
        </w:rPr>
        <w:t xml:space="preserve">в отношении закупок, проведенных на электронной площадке, вводится обязанность размещать извещение с обоснованием цены контракта в ЕИС, формировать протокол подведения итогов, включать сведения о </w:t>
      </w:r>
      <w:r w:rsidRPr="00686B03">
        <w:rPr>
          <w:szCs w:val="28"/>
        </w:rPr>
        <w:lastRenderedPageBreak/>
        <w:t>заключенном контракте в реестр контрактов, а также устанавливается порядок обжалования;</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3) по согласованию заключения контракта с единственным поставщиком:</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 xml:space="preserve"> –</w:t>
      </w:r>
      <w:r w:rsidR="00F00742">
        <w:rPr>
          <w:szCs w:val="28"/>
        </w:rPr>
        <w:t xml:space="preserve"> </w:t>
      </w:r>
      <w:r w:rsidRPr="00686B03">
        <w:rPr>
          <w:szCs w:val="28"/>
        </w:rPr>
        <w:t>заказчик будет обязан согласовывать возможность заключить контракт в случае, если не состоится: закрытый конкурс, конкурс с ограниченным участием, двухэтапный конкурс или аукцион; открытый конкурс, конкурс с ограниченным участием или двухэтапный конкурс, если была подана или осталась только одна заявка; электронный конкурс, если была подана или осталась только одна заявка; электронный аукцион, если была подана или осталась только одна заявка, не было ни одного ценового предложения; запрос предложений в электронной форме, если была подана или осталась только одна заявка, не было подано ни одной заявки или все участники были отклонены; запрос предложений, если была подана одна заявка или не подано ни одной. Фактически, заказчику придется согласовывать заключение контракта после несостоявшихся электронных процедур. Но при этом согласование понадобится только для закупок, НМЦК которых будет превышать предельный размер, установленный Правительством РФ;</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 срок направления заказчиком обращения о согласовании в контрольный орган – в течение 5 рабочих дней со дня размещения протокола в ЕИС или его подписания, если по нормам Закона № 44-ФЗ такой протокол не подлежит размещению в ЕИС. Сейчас на обращение отведено 10 календарных дней;</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w:t>
      </w:r>
      <w:r w:rsidR="00B7064D">
        <w:rPr>
          <w:szCs w:val="28"/>
        </w:rPr>
        <w:t xml:space="preserve"> </w:t>
      </w:r>
      <w:r w:rsidRPr="00686B03">
        <w:rPr>
          <w:szCs w:val="28"/>
        </w:rPr>
        <w:t>контрольный орган будет проводить внеплановую проверку таких закупок;</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w:t>
      </w:r>
      <w:r w:rsidR="00B7064D">
        <w:rPr>
          <w:szCs w:val="28"/>
        </w:rPr>
        <w:t xml:space="preserve"> </w:t>
      </w:r>
      <w:r w:rsidRPr="00686B03">
        <w:rPr>
          <w:szCs w:val="28"/>
        </w:rPr>
        <w:t>контракт необходимо будет заключить не ранее 10 дней со дня размещения протокола в ЕИС (или со дня его подписания) и не позднее 20 дней со дня, когда заказчик получит решение о согласовании.</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b/>
          <w:szCs w:val="28"/>
        </w:rPr>
      </w:pPr>
      <w:r w:rsidRPr="00686B03">
        <w:rPr>
          <w:b/>
          <w:szCs w:val="28"/>
        </w:rPr>
        <w:t>IV. Изменения, вступающие в силу с 1 января 2021 г.:</w:t>
      </w:r>
    </w:p>
    <w:p w:rsidR="00686B03" w:rsidRPr="00686B03" w:rsidRDefault="00686B03" w:rsidP="00686B03">
      <w:pPr>
        <w:spacing w:line="276" w:lineRule="auto"/>
        <w:ind w:firstLine="709"/>
        <w:jc w:val="both"/>
        <w:rPr>
          <w:b/>
          <w:szCs w:val="28"/>
        </w:rPr>
      </w:pPr>
    </w:p>
    <w:p w:rsidR="00686B03" w:rsidRPr="00686B03" w:rsidRDefault="00686B03" w:rsidP="00686B03">
      <w:pPr>
        <w:spacing w:line="276" w:lineRule="auto"/>
        <w:ind w:firstLine="709"/>
        <w:jc w:val="both"/>
        <w:rPr>
          <w:szCs w:val="28"/>
        </w:rPr>
      </w:pPr>
      <w:r w:rsidRPr="00686B03">
        <w:rPr>
          <w:szCs w:val="28"/>
        </w:rPr>
        <w:lastRenderedPageBreak/>
        <w:t>–</w:t>
      </w:r>
      <w:r w:rsidR="00B7064D">
        <w:rPr>
          <w:szCs w:val="28"/>
        </w:rPr>
        <w:t xml:space="preserve"> </w:t>
      </w:r>
      <w:r w:rsidRPr="00686B03">
        <w:rPr>
          <w:szCs w:val="28"/>
        </w:rPr>
        <w:t>для закупок у единственного поставщика по п. 4 и п. 5 ч. 1 ст. 93, проведенных на электронной площадке, обеспечивается доступность информации обо всех предварительных предложениях участников в ЕИС.</w:t>
      </w:r>
    </w:p>
    <w:p w:rsidR="00686B03" w:rsidRPr="00686B03" w:rsidRDefault="00686B03" w:rsidP="00686B03">
      <w:pPr>
        <w:spacing w:line="276" w:lineRule="auto"/>
        <w:ind w:firstLine="709"/>
        <w:jc w:val="both"/>
        <w:rPr>
          <w:szCs w:val="28"/>
        </w:rPr>
      </w:pPr>
    </w:p>
    <w:p w:rsidR="00686B03" w:rsidRPr="00686B03" w:rsidRDefault="00686B03" w:rsidP="00686B03">
      <w:pPr>
        <w:spacing w:line="276" w:lineRule="auto"/>
        <w:ind w:firstLine="709"/>
        <w:jc w:val="both"/>
        <w:rPr>
          <w:szCs w:val="28"/>
        </w:rPr>
      </w:pPr>
      <w:r w:rsidRPr="00686B03">
        <w:rPr>
          <w:szCs w:val="28"/>
        </w:rPr>
        <w:t>Также Федеральным законом от 27 декабря 2019 г. № 469-ФЗ статья 45 Закона № 44-ФЗ была дополнена частями 1.3–1.6, в соответствии с которыми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 1.2 ст. 45 Закона № 44-ФЗ, банковскими гарантиями такого банка могут быть обеспечены заявки и исполнение контрактов вне зависимости от его соответствия (несоответствия) требованиям ч. 1.1 ст. 45 Закона № 44-ФЗ при условии принятия Советом директоров Центрального банка РФ решения о гарантировании непрерывности деятельности такого банка. В случае принятия соответствующего решения банк не исключается из предусмотренного ч. 1.2 Закона № 44-ФЗ перечня. При этом Центральный банк РФ направляет в федеральный орган исполнительной власти по регулированию контрактной системы в сфере закупок сведения о факте и дате утверждения плана участия Банка России в осуществлении мер по предупреждению банкротства и сведения о факте и дате принятия Советом директоров Центрального банка РФ решения о гарантировании непрерывности деятельности банка. Изменения вступили в силу с 28 декабря 2019 г.</w:t>
      </w:r>
    </w:p>
    <w:p w:rsidR="00686B03" w:rsidRPr="00686B03" w:rsidRDefault="00686B03" w:rsidP="00686B03">
      <w:pPr>
        <w:autoSpaceDE w:val="0"/>
        <w:autoSpaceDN w:val="0"/>
        <w:adjustRightInd w:val="0"/>
        <w:spacing w:line="276" w:lineRule="auto"/>
        <w:ind w:firstLine="709"/>
        <w:jc w:val="both"/>
        <w:rPr>
          <w:b/>
          <w:bCs/>
          <w:szCs w:val="28"/>
        </w:rPr>
      </w:pPr>
    </w:p>
    <w:p w:rsidR="00686B03" w:rsidRPr="00686B03" w:rsidRDefault="00686B03" w:rsidP="00686B03">
      <w:pPr>
        <w:autoSpaceDE w:val="0"/>
        <w:autoSpaceDN w:val="0"/>
        <w:adjustRightInd w:val="0"/>
        <w:spacing w:line="276" w:lineRule="auto"/>
        <w:ind w:firstLine="709"/>
        <w:jc w:val="both"/>
        <w:rPr>
          <w:b/>
          <w:bCs/>
          <w:color w:val="000000" w:themeColor="text1"/>
          <w:szCs w:val="28"/>
        </w:rPr>
      </w:pPr>
      <w:r w:rsidRPr="00686B03">
        <w:rPr>
          <w:b/>
          <w:bCs/>
          <w:color w:val="000000" w:themeColor="text1"/>
          <w:szCs w:val="28"/>
        </w:rPr>
        <w:t xml:space="preserve">С 8 января действует </w:t>
      </w:r>
      <w:hyperlink r:id="rId8" w:history="1">
        <w:r w:rsidRPr="00686B03">
          <w:rPr>
            <w:b/>
            <w:bCs/>
            <w:color w:val="000000" w:themeColor="text1"/>
            <w:szCs w:val="28"/>
          </w:rPr>
          <w:t>постановление</w:t>
        </w:r>
      </w:hyperlink>
      <w:r w:rsidRPr="00686B03">
        <w:rPr>
          <w:b/>
          <w:bCs/>
          <w:color w:val="000000" w:themeColor="text1"/>
          <w:szCs w:val="28"/>
        </w:rPr>
        <w:t>, по которому к участникам закупок работ на техобслуживание медицинской техники с НМЦК, превышающей 10 млн. руб., применяются дополнительные требования.</w:t>
      </w:r>
    </w:p>
    <w:p w:rsidR="00686B03" w:rsidRPr="00686B03" w:rsidRDefault="00686B03" w:rsidP="00686B03">
      <w:pPr>
        <w:autoSpaceDE w:val="0"/>
        <w:autoSpaceDN w:val="0"/>
        <w:adjustRightInd w:val="0"/>
        <w:spacing w:line="276" w:lineRule="auto"/>
        <w:ind w:firstLine="709"/>
        <w:jc w:val="both"/>
        <w:rPr>
          <w:b/>
          <w:bCs/>
          <w:color w:val="000000" w:themeColor="text1"/>
          <w:szCs w:val="28"/>
        </w:rPr>
      </w:pPr>
    </w:p>
    <w:p w:rsidR="00686B03" w:rsidRPr="00686B03" w:rsidRDefault="005B2017" w:rsidP="00686B03">
      <w:pPr>
        <w:autoSpaceDE w:val="0"/>
        <w:autoSpaceDN w:val="0"/>
        <w:adjustRightInd w:val="0"/>
        <w:spacing w:line="276" w:lineRule="auto"/>
        <w:ind w:firstLine="709"/>
        <w:jc w:val="both"/>
        <w:rPr>
          <w:b/>
          <w:bCs/>
          <w:color w:val="000000" w:themeColor="text1"/>
          <w:szCs w:val="28"/>
        </w:rPr>
      </w:pPr>
      <w:hyperlink r:id="rId9" w:history="1">
        <w:r w:rsidR="00686B03" w:rsidRPr="00686B03">
          <w:rPr>
            <w:bCs/>
            <w:iCs/>
            <w:color w:val="000000" w:themeColor="text1"/>
            <w:szCs w:val="28"/>
          </w:rPr>
          <w:t>Постановление</w:t>
        </w:r>
      </w:hyperlink>
      <w:r w:rsidR="00686B03" w:rsidRPr="00686B03">
        <w:rPr>
          <w:bCs/>
          <w:color w:val="000000" w:themeColor="text1"/>
          <w:szCs w:val="28"/>
        </w:rPr>
        <w:t>м</w:t>
      </w:r>
      <w:r w:rsidR="00686B03" w:rsidRPr="00686B03">
        <w:rPr>
          <w:bCs/>
          <w:iCs/>
          <w:color w:val="000000" w:themeColor="text1"/>
          <w:szCs w:val="28"/>
        </w:rPr>
        <w:t xml:space="preserve"> Правительства РФ от 27.12.2019 № 1922</w:t>
      </w:r>
      <w:r w:rsidR="00686B03" w:rsidRPr="00686B03">
        <w:rPr>
          <w:color w:val="000000" w:themeColor="text1"/>
          <w:szCs w:val="28"/>
        </w:rPr>
        <w:t xml:space="preserve"> внесены изменения в </w:t>
      </w:r>
      <w:hyperlink r:id="rId10" w:history="1">
        <w:r w:rsidR="00686B03" w:rsidRPr="00686B03">
          <w:rPr>
            <w:color w:val="000000" w:themeColor="text1"/>
            <w:szCs w:val="28"/>
          </w:rPr>
          <w:t>приложение № 1</w:t>
        </w:r>
      </w:hyperlink>
      <w:r w:rsidR="00686B03" w:rsidRPr="00686B03">
        <w:rPr>
          <w:color w:val="000000" w:themeColor="text1"/>
          <w:szCs w:val="28"/>
        </w:rPr>
        <w:t xml:space="preserve"> к постановлению Правительства Российской Федерации от 4 февраля 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w:t>
      </w:r>
      <w:r w:rsidR="00686B03" w:rsidRPr="00686B03">
        <w:rPr>
          <w:color w:val="000000" w:themeColor="text1"/>
          <w:szCs w:val="28"/>
        </w:rPr>
        <w:lastRenderedPageBreak/>
        <w:t>документов, подтверждающих соответствие участников закупки указанным дополнительным требованиям».</w:t>
      </w: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 xml:space="preserve">Речь идет о технике, которая относится, например, к следующим кодам </w:t>
      </w:r>
      <w:hyperlink r:id="rId11" w:history="1">
        <w:r w:rsidRPr="00686B03">
          <w:rPr>
            <w:bCs/>
            <w:color w:val="000000" w:themeColor="text1"/>
            <w:szCs w:val="28"/>
          </w:rPr>
          <w:t>ОКПД2</w:t>
        </w:r>
      </w:hyperlink>
      <w:r w:rsidRPr="00686B03">
        <w:rPr>
          <w:bCs/>
          <w:color w:val="000000" w:themeColor="text1"/>
          <w:szCs w:val="28"/>
        </w:rPr>
        <w:t>:</w:t>
      </w: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 xml:space="preserve">- </w:t>
      </w:r>
      <w:hyperlink r:id="rId12" w:history="1">
        <w:r w:rsidRPr="00686B03">
          <w:rPr>
            <w:bCs/>
            <w:color w:val="000000" w:themeColor="text1"/>
            <w:szCs w:val="28"/>
          </w:rPr>
          <w:t>26.60.11</w:t>
        </w:r>
      </w:hyperlink>
      <w:r w:rsidRPr="00686B03">
        <w:rPr>
          <w:bCs/>
          <w:color w:val="000000" w:themeColor="text1"/>
          <w:szCs w:val="28"/>
        </w:rPr>
        <w:t xml:space="preserve"> - аппараты, основанные на использовании рентгеновского или альфа-, бета- или гамма-излучений, применяемые в медицинских целях;</w:t>
      </w: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 xml:space="preserve">- </w:t>
      </w:r>
      <w:hyperlink r:id="rId13" w:history="1">
        <w:r w:rsidRPr="00686B03">
          <w:rPr>
            <w:bCs/>
            <w:color w:val="000000" w:themeColor="text1"/>
            <w:szCs w:val="28"/>
          </w:rPr>
          <w:t>26.70.22.150</w:t>
        </w:r>
      </w:hyperlink>
      <w:r w:rsidRPr="00686B03">
        <w:rPr>
          <w:bCs/>
          <w:color w:val="000000" w:themeColor="text1"/>
          <w:szCs w:val="28"/>
        </w:rPr>
        <w:t xml:space="preserve"> - микроскопы оптические;</w:t>
      </w: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 xml:space="preserve">- </w:t>
      </w:r>
      <w:hyperlink r:id="rId14" w:history="1">
        <w:r w:rsidRPr="00686B03">
          <w:rPr>
            <w:bCs/>
            <w:color w:val="000000" w:themeColor="text1"/>
            <w:szCs w:val="28"/>
          </w:rPr>
          <w:t>32.50.21.122</w:t>
        </w:r>
      </w:hyperlink>
      <w:r w:rsidRPr="00686B03">
        <w:rPr>
          <w:bCs/>
          <w:color w:val="000000" w:themeColor="text1"/>
          <w:szCs w:val="28"/>
        </w:rPr>
        <w:t xml:space="preserve"> - аппараты дыхательные реанимационные.</w:t>
      </w: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 xml:space="preserve">За последние три года до даты подачи заявки участники таких закупок </w:t>
      </w:r>
      <w:hyperlink r:id="rId15" w:history="1">
        <w:r w:rsidRPr="00686B03">
          <w:rPr>
            <w:bCs/>
            <w:color w:val="000000" w:themeColor="text1"/>
            <w:szCs w:val="28"/>
          </w:rPr>
          <w:t>должны иметь</w:t>
        </w:r>
      </w:hyperlink>
      <w:r w:rsidRPr="00686B03">
        <w:rPr>
          <w:bCs/>
          <w:color w:val="000000" w:themeColor="text1"/>
          <w:szCs w:val="28"/>
        </w:rPr>
        <w:t xml:space="preserve"> опыт исполнения:</w:t>
      </w: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 xml:space="preserve">- одного контракта (договора) на обслуживание медицинской техники, заключенного по </w:t>
      </w:r>
      <w:hyperlink r:id="rId16" w:history="1">
        <w:r w:rsidRPr="00686B03">
          <w:rPr>
            <w:bCs/>
            <w:color w:val="000000" w:themeColor="text1"/>
            <w:szCs w:val="28"/>
          </w:rPr>
          <w:t>Закону</w:t>
        </w:r>
      </w:hyperlink>
      <w:r w:rsidRPr="00686B03">
        <w:rPr>
          <w:bCs/>
          <w:color w:val="000000" w:themeColor="text1"/>
          <w:szCs w:val="28"/>
        </w:rPr>
        <w:t xml:space="preserve"> № 44-ФЗ или по </w:t>
      </w:r>
      <w:hyperlink r:id="rId17" w:history="1">
        <w:r w:rsidRPr="00686B03">
          <w:rPr>
            <w:bCs/>
            <w:color w:val="000000" w:themeColor="text1"/>
            <w:szCs w:val="28"/>
          </w:rPr>
          <w:t>Закону</w:t>
        </w:r>
      </w:hyperlink>
      <w:r w:rsidRPr="00686B03">
        <w:rPr>
          <w:bCs/>
          <w:color w:val="000000" w:themeColor="text1"/>
          <w:szCs w:val="28"/>
        </w:rPr>
        <w:t xml:space="preserve"> № 223-ФЗ;</w:t>
      </w: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 xml:space="preserve">- контрактов на обслуживание медицинской техники, заключенных согласно </w:t>
      </w:r>
      <w:hyperlink r:id="rId18" w:history="1">
        <w:r w:rsidRPr="00686B03">
          <w:rPr>
            <w:bCs/>
            <w:color w:val="000000" w:themeColor="text1"/>
            <w:szCs w:val="28"/>
          </w:rPr>
          <w:t>Закону</w:t>
        </w:r>
      </w:hyperlink>
      <w:r w:rsidRPr="00686B03">
        <w:rPr>
          <w:bCs/>
          <w:color w:val="000000" w:themeColor="text1"/>
          <w:szCs w:val="28"/>
        </w:rPr>
        <w:t xml:space="preserve"> № 44-ФЗ по итогам совместного конкурса или аукциона.</w:t>
      </w: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Достаточно выполнить одно из этих условий.</w:t>
      </w: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Стоимость контракта (договора) или совокупная стоимость контрактов должна составлять не менее 20 % НМЦК проводимой закупки.</w:t>
      </w: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 xml:space="preserve">Подтверждать соответствие дополнительным требованиям </w:t>
      </w:r>
      <w:hyperlink r:id="rId19" w:history="1">
        <w:r w:rsidRPr="00686B03">
          <w:rPr>
            <w:bCs/>
            <w:color w:val="000000" w:themeColor="text1"/>
            <w:szCs w:val="28"/>
          </w:rPr>
          <w:t>нужно</w:t>
        </w:r>
      </w:hyperlink>
      <w:r w:rsidRPr="00686B03">
        <w:rPr>
          <w:bCs/>
          <w:color w:val="000000" w:themeColor="text1"/>
          <w:szCs w:val="28"/>
        </w:rPr>
        <w:t xml:space="preserve"> копиями следующих документов:</w:t>
      </w: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 контракт (договор), включенный в реестр. Необходимое условие - отсутствие не исполненных подрядчиком требований об уплате неустоек;</w:t>
      </w: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 акт выполненных работ, подтверждающий стоимость исполненного контракта (договора). Акт должен быть подписан не ранее чем за три года до даты окончания срока подачи заявок на участие в закупке.</w:t>
      </w: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Если контрактов или актов было несколько, необходимы копии всех этих документов.</w:t>
      </w:r>
    </w:p>
    <w:p w:rsidR="00686B03" w:rsidRPr="00686B03" w:rsidRDefault="00686B03" w:rsidP="00686B03">
      <w:pPr>
        <w:autoSpaceDE w:val="0"/>
        <w:autoSpaceDN w:val="0"/>
        <w:adjustRightInd w:val="0"/>
        <w:spacing w:line="276" w:lineRule="auto"/>
        <w:ind w:firstLine="709"/>
        <w:jc w:val="both"/>
        <w:rPr>
          <w:bCs/>
          <w:color w:val="000000" w:themeColor="text1"/>
          <w:szCs w:val="28"/>
        </w:rPr>
      </w:pPr>
    </w:p>
    <w:p w:rsidR="00686B03" w:rsidRPr="00686B03" w:rsidRDefault="00686B03" w:rsidP="00686B03">
      <w:pPr>
        <w:autoSpaceDE w:val="0"/>
        <w:autoSpaceDN w:val="0"/>
        <w:adjustRightInd w:val="0"/>
        <w:spacing w:line="276" w:lineRule="auto"/>
        <w:ind w:firstLine="709"/>
        <w:jc w:val="both"/>
        <w:rPr>
          <w:b/>
          <w:szCs w:val="28"/>
        </w:rPr>
      </w:pPr>
      <w:r w:rsidRPr="00686B03">
        <w:rPr>
          <w:b/>
          <w:szCs w:val="28"/>
        </w:rPr>
        <w:t>Установлен запрет на допуск программно-аппаратных комплексов систем хранения данных</w:t>
      </w:r>
    </w:p>
    <w:p w:rsidR="00686B03" w:rsidRPr="00686B03" w:rsidRDefault="00686B03" w:rsidP="00686B03">
      <w:pPr>
        <w:autoSpaceDE w:val="0"/>
        <w:autoSpaceDN w:val="0"/>
        <w:adjustRightInd w:val="0"/>
        <w:spacing w:line="276" w:lineRule="auto"/>
        <w:ind w:firstLine="709"/>
        <w:jc w:val="both"/>
        <w:rPr>
          <w:szCs w:val="28"/>
        </w:rPr>
      </w:pPr>
    </w:p>
    <w:p w:rsidR="00686B03" w:rsidRPr="00686B03" w:rsidRDefault="00686B03" w:rsidP="00686B03">
      <w:pPr>
        <w:autoSpaceDE w:val="0"/>
        <w:autoSpaceDN w:val="0"/>
        <w:adjustRightInd w:val="0"/>
        <w:spacing w:line="276" w:lineRule="auto"/>
        <w:ind w:firstLine="709"/>
        <w:jc w:val="both"/>
        <w:rPr>
          <w:bCs/>
          <w:color w:val="000000" w:themeColor="text1"/>
          <w:szCs w:val="28"/>
        </w:rPr>
      </w:pPr>
      <w:r w:rsidRPr="00686B03">
        <w:rPr>
          <w:bCs/>
          <w:color w:val="000000" w:themeColor="text1"/>
          <w:szCs w:val="28"/>
        </w:rPr>
        <w:t>26.12.2019 г. вступило в силу Постановление Правительства РФ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p w:rsidR="00686B03" w:rsidRPr="00686B03" w:rsidRDefault="00686B03" w:rsidP="00686B03">
      <w:pPr>
        <w:autoSpaceDE w:val="0"/>
        <w:autoSpaceDN w:val="0"/>
        <w:adjustRightInd w:val="0"/>
        <w:spacing w:line="276" w:lineRule="auto"/>
        <w:ind w:firstLine="709"/>
        <w:jc w:val="both"/>
        <w:rPr>
          <w:szCs w:val="28"/>
        </w:rPr>
      </w:pPr>
      <w:r w:rsidRPr="00686B03">
        <w:rPr>
          <w:szCs w:val="28"/>
        </w:rPr>
        <w:t>В целях обеспечения безопасности критической информационной инфраструктуры Российской Федерации, в том числе используемой при реализации национальных проектов (программ)</w:t>
      </w:r>
      <w:bookmarkStart w:id="0" w:name="Par1"/>
      <w:bookmarkEnd w:id="0"/>
      <w:r w:rsidRPr="00686B03">
        <w:rPr>
          <w:szCs w:val="28"/>
        </w:rPr>
        <w:t xml:space="preserve"> установлен запрет на допуск </w:t>
      </w:r>
      <w:r w:rsidRPr="00686B03">
        <w:rPr>
          <w:szCs w:val="28"/>
        </w:rPr>
        <w:lastRenderedPageBreak/>
        <w:t>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Запрет распространяется на товары, являющиеся: предметом закупки, в том числе в случае закупки работ (услуг), при выполнении (оказании) которых предусмотрена поставка товаров и когда предметом закупки выступает аренда и (или) лизинг. Подтверждением производства товаров на территории Российской Федерации является наличие сведений о товаре в едином реестре российской радиоэлектронной продукции. Подтверждением соответствия товаров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едином реестре российской радиоэлектронной продукции с указанием номера реестровой записи. Номер реестровой записи, указанный в декларации, подлежит включению в контракт.</w:t>
      </w:r>
    </w:p>
    <w:p w:rsidR="00686B03" w:rsidRPr="00686B03" w:rsidRDefault="00686B03" w:rsidP="00686B03">
      <w:pPr>
        <w:autoSpaceDE w:val="0"/>
        <w:autoSpaceDN w:val="0"/>
        <w:adjustRightInd w:val="0"/>
        <w:spacing w:line="276" w:lineRule="auto"/>
        <w:ind w:firstLine="709"/>
        <w:jc w:val="both"/>
        <w:rPr>
          <w:iCs/>
          <w:color w:val="000000" w:themeColor="text1"/>
          <w:szCs w:val="28"/>
        </w:rPr>
      </w:pPr>
    </w:p>
    <w:p w:rsidR="00361329" w:rsidRPr="00686B03" w:rsidRDefault="00361329" w:rsidP="00686B03">
      <w:pPr>
        <w:spacing w:line="276" w:lineRule="auto"/>
        <w:ind w:firstLine="709"/>
        <w:jc w:val="both"/>
        <w:rPr>
          <w:b/>
          <w:szCs w:val="28"/>
          <w:u w:val="single"/>
        </w:rPr>
      </w:pPr>
      <w:r w:rsidRPr="00686B03">
        <w:rPr>
          <w:b/>
          <w:szCs w:val="28"/>
          <w:u w:val="single"/>
        </w:rPr>
        <w:br w:type="page"/>
      </w:r>
    </w:p>
    <w:p w:rsidR="00CD781A" w:rsidRDefault="00CD781A" w:rsidP="00873DC8">
      <w:pPr>
        <w:pStyle w:val="a5"/>
        <w:widowControl w:val="0"/>
        <w:spacing w:line="276" w:lineRule="auto"/>
        <w:ind w:firstLine="851"/>
        <w:rPr>
          <w:sz w:val="32"/>
        </w:rPr>
      </w:pPr>
      <w:r w:rsidRPr="00F42488">
        <w:rPr>
          <w:b/>
          <w:sz w:val="32"/>
          <w:u w:val="single"/>
        </w:rPr>
        <w:lastRenderedPageBreak/>
        <w:t xml:space="preserve">Раздел </w:t>
      </w:r>
      <w:r w:rsidR="00B437D2" w:rsidRPr="00F42488">
        <w:rPr>
          <w:b/>
          <w:sz w:val="32"/>
          <w:u w:val="single"/>
        </w:rPr>
        <w:t>3</w:t>
      </w:r>
      <w:r w:rsidRPr="00F42488">
        <w:rPr>
          <w:b/>
          <w:sz w:val="32"/>
          <w:u w:val="single"/>
        </w:rPr>
        <w:t xml:space="preserve">. </w:t>
      </w:r>
      <w:r w:rsidR="00421BA3" w:rsidRPr="00F42488">
        <w:rPr>
          <w:b/>
          <w:sz w:val="32"/>
          <w:u w:val="single"/>
        </w:rPr>
        <w:t>Контроль за рекламным законодательством и недобросовестной конкуренцией</w:t>
      </w:r>
    </w:p>
    <w:p w:rsidR="00C453FC" w:rsidRPr="00C453FC" w:rsidRDefault="00C453FC" w:rsidP="00873DC8">
      <w:pPr>
        <w:pStyle w:val="a5"/>
        <w:widowControl w:val="0"/>
        <w:spacing w:line="276" w:lineRule="auto"/>
        <w:ind w:firstLine="851"/>
      </w:pPr>
    </w:p>
    <w:p w:rsidR="0010152D" w:rsidRPr="00E27618" w:rsidRDefault="0010152D" w:rsidP="0010152D">
      <w:pPr>
        <w:tabs>
          <w:tab w:val="left" w:pos="5245"/>
        </w:tabs>
        <w:jc w:val="center"/>
        <w:rPr>
          <w:b/>
          <w:szCs w:val="28"/>
          <w:u w:val="single"/>
        </w:rPr>
      </w:pPr>
      <w:r w:rsidRPr="00E27618">
        <w:rPr>
          <w:b/>
          <w:szCs w:val="28"/>
          <w:u w:val="single"/>
        </w:rPr>
        <w:t>Пресечение недобросовестной конкуренции</w:t>
      </w:r>
    </w:p>
    <w:p w:rsidR="0010152D" w:rsidRPr="00E27618" w:rsidRDefault="0010152D" w:rsidP="0010152D">
      <w:pPr>
        <w:tabs>
          <w:tab w:val="left" w:pos="5245"/>
        </w:tabs>
        <w:suppressAutoHyphens/>
        <w:autoSpaceDE w:val="0"/>
        <w:autoSpaceDN w:val="0"/>
        <w:adjustRightInd w:val="0"/>
        <w:spacing w:before="240"/>
        <w:ind w:firstLine="709"/>
        <w:jc w:val="both"/>
        <w:rPr>
          <w:szCs w:val="28"/>
        </w:rPr>
      </w:pPr>
      <w:r w:rsidRPr="00E27618">
        <w:rPr>
          <w:szCs w:val="28"/>
        </w:rPr>
        <w:t xml:space="preserve">В 2019 году в Ульяновское УФАС России поступило </w:t>
      </w:r>
      <w:r w:rsidRPr="00E27618">
        <w:rPr>
          <w:b/>
          <w:szCs w:val="28"/>
        </w:rPr>
        <w:t>29</w:t>
      </w:r>
      <w:r w:rsidRPr="00E27618">
        <w:rPr>
          <w:szCs w:val="28"/>
        </w:rPr>
        <w:t xml:space="preserve"> заявлений о признаках нарушения антимонопольного законодательства в части осуществления недобросовестной конкуренции (в 2018 году было 51 заявление).  Поводом для выдачи предупреждений и возбуждения дел послужили </w:t>
      </w:r>
      <w:r w:rsidRPr="00E27618">
        <w:rPr>
          <w:b/>
          <w:szCs w:val="28"/>
        </w:rPr>
        <w:t>6</w:t>
      </w:r>
      <w:r w:rsidRPr="00E27618">
        <w:rPr>
          <w:szCs w:val="28"/>
        </w:rPr>
        <w:t xml:space="preserve"> заявлений (20,7% от общего количества заявлений), по </w:t>
      </w:r>
      <w:r w:rsidRPr="00E27618">
        <w:rPr>
          <w:b/>
          <w:szCs w:val="28"/>
        </w:rPr>
        <w:t>23</w:t>
      </w:r>
      <w:r w:rsidRPr="00E27618">
        <w:rPr>
          <w:szCs w:val="28"/>
        </w:rPr>
        <w:t xml:space="preserve"> жалобам вынесены решения об отказе в возбуждении дела.  По результатам рассмотрения дел по признакам нарушения антимонопольного законодательства управлением принято </w:t>
      </w:r>
      <w:r w:rsidRPr="00E27618">
        <w:rPr>
          <w:b/>
          <w:szCs w:val="28"/>
        </w:rPr>
        <w:t>4</w:t>
      </w:r>
      <w:r w:rsidRPr="00E27618">
        <w:rPr>
          <w:szCs w:val="28"/>
        </w:rPr>
        <w:t xml:space="preserve"> решения о признании в действиях хозяйствующих субъектов недобросовестной конкуренции.</w:t>
      </w:r>
    </w:p>
    <w:p w:rsidR="0010152D" w:rsidRPr="00E27618" w:rsidRDefault="0010152D" w:rsidP="0010152D">
      <w:pPr>
        <w:widowControl w:val="0"/>
        <w:shd w:val="clear" w:color="auto" w:fill="FFFFFF"/>
        <w:tabs>
          <w:tab w:val="left" w:pos="5245"/>
        </w:tabs>
        <w:spacing w:before="360"/>
        <w:ind w:firstLine="709"/>
        <w:jc w:val="both"/>
        <w:rPr>
          <w:szCs w:val="28"/>
          <w:lang w:bidi="ru-RU"/>
        </w:rPr>
      </w:pPr>
      <w:r w:rsidRPr="00E27618">
        <w:rPr>
          <w:szCs w:val="28"/>
          <w:lang w:bidi="ru-RU"/>
        </w:rPr>
        <w:t xml:space="preserve">Согласно п. 9 ст. 4 Федерального закона «О защите конкуренции» </w:t>
      </w:r>
      <w:r w:rsidRPr="00E27618">
        <w:rPr>
          <w:szCs w:val="28"/>
          <w:u w:val="single"/>
          <w:lang w:bidi="ru-RU"/>
        </w:rPr>
        <w:t>недобросовестная конкуренция</w:t>
      </w:r>
      <w:r w:rsidRPr="00E27618">
        <w:rPr>
          <w:szCs w:val="28"/>
          <w:lang w:bidi="ru-RU"/>
        </w:rP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10152D" w:rsidRPr="00E27618" w:rsidRDefault="0010152D" w:rsidP="0010152D">
      <w:pPr>
        <w:widowControl w:val="0"/>
        <w:shd w:val="clear" w:color="auto" w:fill="FFFFFF"/>
        <w:tabs>
          <w:tab w:val="left" w:pos="5245"/>
        </w:tabs>
        <w:spacing w:before="120"/>
        <w:ind w:firstLine="709"/>
        <w:jc w:val="both"/>
        <w:rPr>
          <w:szCs w:val="28"/>
          <w:lang w:bidi="ru-RU"/>
        </w:rPr>
      </w:pPr>
      <w:r w:rsidRPr="00E27618">
        <w:rPr>
          <w:szCs w:val="28"/>
          <w:lang w:bidi="ru-RU"/>
        </w:rPr>
        <w:t>Признаками недобросовестной конкуренции являются:</w:t>
      </w:r>
    </w:p>
    <w:p w:rsidR="0010152D" w:rsidRPr="00E27618" w:rsidRDefault="0010152D" w:rsidP="0010152D">
      <w:pPr>
        <w:widowControl w:val="0"/>
        <w:shd w:val="clear" w:color="auto" w:fill="FFFFFF"/>
        <w:tabs>
          <w:tab w:val="left" w:pos="5245"/>
        </w:tabs>
        <w:ind w:firstLine="709"/>
        <w:jc w:val="both"/>
        <w:rPr>
          <w:szCs w:val="28"/>
          <w:lang w:bidi="ru-RU"/>
        </w:rPr>
      </w:pPr>
      <w:r w:rsidRPr="00E27618">
        <w:rPr>
          <w:szCs w:val="28"/>
          <w:lang w:bidi="ru-RU"/>
        </w:rPr>
        <w:t>1) действия хозяйствующих субъектов (группы лиц);</w:t>
      </w:r>
    </w:p>
    <w:p w:rsidR="0010152D" w:rsidRPr="00E27618" w:rsidRDefault="0010152D" w:rsidP="0010152D">
      <w:pPr>
        <w:widowControl w:val="0"/>
        <w:shd w:val="clear" w:color="auto" w:fill="FFFFFF"/>
        <w:tabs>
          <w:tab w:val="left" w:pos="5245"/>
        </w:tabs>
        <w:ind w:firstLine="709"/>
        <w:jc w:val="both"/>
        <w:rPr>
          <w:szCs w:val="28"/>
          <w:lang w:bidi="ru-RU"/>
        </w:rPr>
      </w:pPr>
      <w:r w:rsidRPr="00E27618">
        <w:rPr>
          <w:szCs w:val="28"/>
          <w:lang w:bidi="ru-RU"/>
        </w:rPr>
        <w:t>2) действия направлены на получение преимуществ при осуществлении предпринимательской деятельности;</w:t>
      </w:r>
    </w:p>
    <w:p w:rsidR="0010152D" w:rsidRPr="00E27618" w:rsidRDefault="0010152D" w:rsidP="0010152D">
      <w:pPr>
        <w:widowControl w:val="0"/>
        <w:shd w:val="clear" w:color="auto" w:fill="FFFFFF"/>
        <w:tabs>
          <w:tab w:val="left" w:pos="5245"/>
        </w:tabs>
        <w:ind w:firstLine="709"/>
        <w:jc w:val="both"/>
        <w:rPr>
          <w:szCs w:val="28"/>
          <w:lang w:bidi="ru-RU"/>
        </w:rPr>
      </w:pPr>
      <w:r w:rsidRPr="00E27618">
        <w:rPr>
          <w:szCs w:val="28"/>
          <w:lang w:bidi="ru-RU"/>
        </w:rPr>
        <w:t>3) действия противоречат законодательству Российской Федерации, обычаям делового оборота, требованиям добропорядочности, разумности и справедливости;</w:t>
      </w:r>
    </w:p>
    <w:p w:rsidR="0010152D" w:rsidRPr="00E27618" w:rsidRDefault="0010152D" w:rsidP="0010152D">
      <w:pPr>
        <w:widowControl w:val="0"/>
        <w:shd w:val="clear" w:color="auto" w:fill="FFFFFF"/>
        <w:tabs>
          <w:tab w:val="left" w:pos="5245"/>
        </w:tabs>
        <w:ind w:firstLine="709"/>
        <w:jc w:val="both"/>
        <w:rPr>
          <w:szCs w:val="28"/>
          <w:lang w:bidi="ru-RU"/>
        </w:rPr>
      </w:pPr>
      <w:r w:rsidRPr="00E27618">
        <w:rPr>
          <w:szCs w:val="28"/>
          <w:lang w:bidi="ru-RU"/>
        </w:rPr>
        <w:t xml:space="preserve">4) действия </w:t>
      </w:r>
      <w:r w:rsidRPr="00E27618">
        <w:rPr>
          <w:i/>
          <w:szCs w:val="28"/>
          <w:lang w:bidi="ru-RU"/>
        </w:rPr>
        <w:t>причинили</w:t>
      </w:r>
      <w:r w:rsidRPr="00E27618">
        <w:rPr>
          <w:szCs w:val="28"/>
          <w:lang w:bidi="ru-RU"/>
        </w:rPr>
        <w:t xml:space="preserve"> или </w:t>
      </w:r>
      <w:r w:rsidRPr="00E27618">
        <w:rPr>
          <w:i/>
          <w:szCs w:val="28"/>
          <w:lang w:bidi="ru-RU"/>
        </w:rPr>
        <w:t>могут причинить</w:t>
      </w:r>
      <w:r w:rsidRPr="00E27618">
        <w:rPr>
          <w:szCs w:val="28"/>
          <w:lang w:bidi="ru-RU"/>
        </w:rPr>
        <w:t xml:space="preserve"> убытки другим хозяйствующим субъектам - конкурентам либо </w:t>
      </w:r>
      <w:r w:rsidRPr="00E27618">
        <w:rPr>
          <w:i/>
          <w:szCs w:val="28"/>
          <w:lang w:bidi="ru-RU"/>
        </w:rPr>
        <w:t>нанесли</w:t>
      </w:r>
      <w:r w:rsidRPr="00E27618">
        <w:rPr>
          <w:szCs w:val="28"/>
          <w:lang w:bidi="ru-RU"/>
        </w:rPr>
        <w:t xml:space="preserve"> или </w:t>
      </w:r>
      <w:r w:rsidRPr="00E27618">
        <w:rPr>
          <w:i/>
          <w:szCs w:val="28"/>
          <w:lang w:bidi="ru-RU"/>
        </w:rPr>
        <w:t>могут нанести</w:t>
      </w:r>
      <w:r w:rsidRPr="00E27618">
        <w:rPr>
          <w:szCs w:val="28"/>
          <w:lang w:bidi="ru-RU"/>
        </w:rPr>
        <w:t xml:space="preserve"> вред их деловой репутации.</w:t>
      </w:r>
    </w:p>
    <w:p w:rsidR="0010152D" w:rsidRPr="00E27618" w:rsidRDefault="0010152D" w:rsidP="0010152D">
      <w:pPr>
        <w:shd w:val="clear" w:color="auto" w:fill="FFFFFF"/>
        <w:tabs>
          <w:tab w:val="left" w:pos="5245"/>
        </w:tabs>
        <w:spacing w:before="120" w:line="242" w:lineRule="atLeast"/>
        <w:ind w:firstLine="709"/>
        <w:jc w:val="both"/>
        <w:rPr>
          <w:szCs w:val="28"/>
          <w:shd w:val="clear" w:color="auto" w:fill="FFFFFF"/>
        </w:rPr>
      </w:pPr>
      <w:r w:rsidRPr="00E27618">
        <w:rPr>
          <w:szCs w:val="28"/>
        </w:rPr>
        <w:t xml:space="preserve">В соответствии со ст. 39.1 Федерального закона «О защите конкуренции» при обнаружении признаков недобросовестной конкуренции, предусмотренной ст.ст. </w:t>
      </w:r>
      <w:hyperlink r:id="rId20" w:anchor="dst753" w:history="1">
        <w:r w:rsidRPr="00E27618">
          <w:rPr>
            <w:rStyle w:val="a7"/>
            <w:szCs w:val="28"/>
            <w:shd w:val="clear" w:color="auto" w:fill="FFFFFF"/>
          </w:rPr>
          <w:t>14.1</w:t>
        </w:r>
      </w:hyperlink>
      <w:r w:rsidRPr="00E27618">
        <w:rPr>
          <w:szCs w:val="28"/>
          <w:shd w:val="clear" w:color="auto" w:fill="FFFFFF"/>
        </w:rPr>
        <w:t>, </w:t>
      </w:r>
      <w:hyperlink r:id="rId21" w:anchor="dst758" w:history="1">
        <w:r w:rsidRPr="00E27618">
          <w:rPr>
            <w:rStyle w:val="a7"/>
            <w:szCs w:val="28"/>
            <w:shd w:val="clear" w:color="auto" w:fill="FFFFFF"/>
          </w:rPr>
          <w:t>14.2</w:t>
        </w:r>
      </w:hyperlink>
      <w:r w:rsidRPr="00E27618">
        <w:rPr>
          <w:szCs w:val="28"/>
          <w:shd w:val="clear" w:color="auto" w:fill="FFFFFF"/>
        </w:rPr>
        <w:t>, </w:t>
      </w:r>
      <w:hyperlink r:id="rId22" w:anchor="dst764" w:history="1">
        <w:r w:rsidRPr="00E27618">
          <w:rPr>
            <w:rStyle w:val="a7"/>
            <w:szCs w:val="28"/>
            <w:shd w:val="clear" w:color="auto" w:fill="FFFFFF"/>
          </w:rPr>
          <w:t>14.3</w:t>
        </w:r>
      </w:hyperlink>
      <w:r w:rsidRPr="00E27618">
        <w:rPr>
          <w:szCs w:val="28"/>
          <w:shd w:val="clear" w:color="auto" w:fill="FFFFFF"/>
        </w:rPr>
        <w:t>, </w:t>
      </w:r>
      <w:hyperlink r:id="rId23" w:anchor="dst778" w:history="1">
        <w:r w:rsidRPr="00E27618">
          <w:rPr>
            <w:rStyle w:val="a7"/>
            <w:szCs w:val="28"/>
            <w:shd w:val="clear" w:color="auto" w:fill="FFFFFF"/>
          </w:rPr>
          <w:t>14.7</w:t>
        </w:r>
      </w:hyperlink>
      <w:r w:rsidRPr="00E27618">
        <w:rPr>
          <w:szCs w:val="28"/>
        </w:rPr>
        <w:t xml:space="preserve"> и</w:t>
      </w:r>
      <w:r w:rsidRPr="00E27618">
        <w:rPr>
          <w:szCs w:val="28"/>
          <w:shd w:val="clear" w:color="auto" w:fill="FFFFFF"/>
        </w:rPr>
        <w:t> </w:t>
      </w:r>
      <w:hyperlink r:id="rId24" w:anchor="dst783" w:history="1">
        <w:r w:rsidRPr="00E27618">
          <w:rPr>
            <w:rStyle w:val="a7"/>
            <w:szCs w:val="28"/>
            <w:shd w:val="clear" w:color="auto" w:fill="FFFFFF"/>
          </w:rPr>
          <w:t>14.8</w:t>
        </w:r>
      </w:hyperlink>
      <w:r w:rsidRPr="00E27618">
        <w:rPr>
          <w:szCs w:val="28"/>
        </w:rPr>
        <w:t xml:space="preserve"> указанного Федерального закона, антимонопольный орган выдает </w:t>
      </w:r>
      <w:r w:rsidRPr="00E27618">
        <w:rPr>
          <w:szCs w:val="28"/>
          <w:shd w:val="clear" w:color="auto" w:fill="FFFFFF"/>
        </w:rPr>
        <w:t>хозяйствующему субъекту предупреждение в письменной форме о прекращении действий (бездействия),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10152D" w:rsidRPr="00E27618" w:rsidRDefault="0010152D" w:rsidP="0010152D">
      <w:pPr>
        <w:shd w:val="clear" w:color="auto" w:fill="FFFFFF"/>
        <w:tabs>
          <w:tab w:val="left" w:pos="5245"/>
        </w:tabs>
        <w:spacing w:before="120" w:line="242" w:lineRule="atLeast"/>
        <w:ind w:firstLine="709"/>
        <w:jc w:val="both"/>
        <w:rPr>
          <w:szCs w:val="28"/>
        </w:rPr>
      </w:pPr>
      <w:r w:rsidRPr="00E27618">
        <w:rPr>
          <w:szCs w:val="28"/>
          <w:shd w:val="clear" w:color="auto" w:fill="FFFFFF"/>
        </w:rPr>
        <w:lastRenderedPageBreak/>
        <w:t xml:space="preserve">Выдача предупреждений при наличии признаков нарушения ст.ст. </w:t>
      </w:r>
      <w:hyperlink r:id="rId25" w:anchor="dst764" w:history="1">
        <w:r w:rsidRPr="00E27618">
          <w:rPr>
            <w:rStyle w:val="a7"/>
            <w:szCs w:val="28"/>
            <w:shd w:val="clear" w:color="auto" w:fill="FFFFFF"/>
          </w:rPr>
          <w:t>14.4</w:t>
        </w:r>
      </w:hyperlink>
      <w:r w:rsidRPr="00E27618">
        <w:rPr>
          <w:rStyle w:val="a7"/>
          <w:szCs w:val="28"/>
          <w:shd w:val="clear" w:color="auto" w:fill="FFFFFF"/>
        </w:rPr>
        <w:t xml:space="preserve">, 14.5 и 14.6 </w:t>
      </w:r>
      <w:r w:rsidRPr="00E27618">
        <w:rPr>
          <w:szCs w:val="28"/>
        </w:rPr>
        <w:t>Федерального закона «О защите конкуренции» не предусмотрена, то есть дело о нарушении антимонопольного законодательства возбуждается без выдачи предупреждения.</w:t>
      </w:r>
    </w:p>
    <w:p w:rsidR="0010152D" w:rsidRPr="00E27618" w:rsidRDefault="0010152D" w:rsidP="0010152D">
      <w:pPr>
        <w:shd w:val="clear" w:color="auto" w:fill="FFFFFF"/>
        <w:tabs>
          <w:tab w:val="left" w:pos="5245"/>
        </w:tabs>
        <w:spacing w:before="120" w:line="242" w:lineRule="atLeast"/>
        <w:ind w:firstLine="709"/>
        <w:jc w:val="both"/>
        <w:rPr>
          <w:szCs w:val="28"/>
          <w:shd w:val="clear" w:color="auto" w:fill="FFFFFF"/>
        </w:rPr>
      </w:pPr>
      <w:r w:rsidRPr="00E27618">
        <w:rPr>
          <w:szCs w:val="28"/>
        </w:rPr>
        <w:t xml:space="preserve">Согласно ч. 7 ст. 39.1 Федерального закона «О защите конкуренции» </w:t>
      </w:r>
      <w:r w:rsidRPr="00E27618">
        <w:rPr>
          <w:szCs w:val="28"/>
          <w:u w:val="single"/>
          <w:shd w:val="clear" w:color="auto" w:fill="FFFFFF"/>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r w:rsidRPr="00E27618">
        <w:rPr>
          <w:szCs w:val="28"/>
          <w:shd w:val="clear" w:color="auto" w:fill="FFFFFF"/>
        </w:rPr>
        <w:t>.</w:t>
      </w:r>
    </w:p>
    <w:p w:rsidR="0010152D" w:rsidRPr="00E27618" w:rsidRDefault="0010152D" w:rsidP="0010152D">
      <w:pPr>
        <w:pStyle w:val="a3"/>
        <w:tabs>
          <w:tab w:val="left" w:pos="5245"/>
          <w:tab w:val="left" w:pos="9921"/>
        </w:tabs>
        <w:spacing w:before="240"/>
        <w:ind w:left="0" w:firstLine="709"/>
        <w:jc w:val="both"/>
        <w:rPr>
          <w:szCs w:val="28"/>
          <w:u w:val="single"/>
        </w:rPr>
      </w:pPr>
      <w:r w:rsidRPr="00E27618">
        <w:rPr>
          <w:rFonts w:eastAsia="Calibri"/>
          <w:szCs w:val="28"/>
        </w:rPr>
        <w:t>Общее количество предупреждений, выданных по статьям 14</w:t>
      </w:r>
      <w:r w:rsidRPr="00E27618">
        <w:rPr>
          <w:rFonts w:eastAsia="Calibri"/>
          <w:szCs w:val="28"/>
          <w:vertAlign w:val="superscript"/>
        </w:rPr>
        <w:t>1</w:t>
      </w:r>
      <w:r w:rsidRPr="00E27618">
        <w:rPr>
          <w:rFonts w:eastAsia="Calibri"/>
          <w:szCs w:val="28"/>
        </w:rPr>
        <w:t>,</w:t>
      </w:r>
      <w:r w:rsidRPr="00E27618">
        <w:rPr>
          <w:rFonts w:eastAsia="Calibri"/>
          <w:szCs w:val="28"/>
          <w:vertAlign w:val="superscript"/>
        </w:rPr>
        <w:t xml:space="preserve"> </w:t>
      </w:r>
      <w:r w:rsidRPr="00E27618">
        <w:rPr>
          <w:rFonts w:eastAsia="Calibri"/>
          <w:szCs w:val="28"/>
        </w:rPr>
        <w:t xml:space="preserve"> 14</w:t>
      </w:r>
      <w:r w:rsidRPr="00E27618">
        <w:rPr>
          <w:rFonts w:eastAsia="Calibri"/>
          <w:szCs w:val="28"/>
          <w:vertAlign w:val="superscript"/>
        </w:rPr>
        <w:t>2</w:t>
      </w:r>
      <w:r w:rsidRPr="00E27618">
        <w:rPr>
          <w:rFonts w:eastAsia="Calibri"/>
          <w:szCs w:val="28"/>
        </w:rPr>
        <w:t>, 14</w:t>
      </w:r>
      <w:r w:rsidRPr="00E27618">
        <w:rPr>
          <w:rFonts w:eastAsia="Calibri"/>
          <w:szCs w:val="28"/>
          <w:vertAlign w:val="superscript"/>
        </w:rPr>
        <w:t>3</w:t>
      </w:r>
      <w:r w:rsidRPr="00E27618">
        <w:rPr>
          <w:rFonts w:eastAsia="Calibri"/>
          <w:szCs w:val="28"/>
        </w:rPr>
        <w:t>, 14</w:t>
      </w:r>
      <w:r w:rsidRPr="00E27618">
        <w:rPr>
          <w:rFonts w:eastAsia="Calibri"/>
          <w:szCs w:val="28"/>
          <w:vertAlign w:val="superscript"/>
        </w:rPr>
        <w:t xml:space="preserve">7 </w:t>
      </w:r>
      <w:r w:rsidRPr="00E27618">
        <w:rPr>
          <w:rFonts w:eastAsia="Calibri"/>
          <w:szCs w:val="28"/>
        </w:rPr>
        <w:t>и 14</w:t>
      </w:r>
      <w:r w:rsidRPr="00E27618">
        <w:rPr>
          <w:rFonts w:eastAsia="Calibri"/>
          <w:szCs w:val="28"/>
          <w:vertAlign w:val="superscript"/>
        </w:rPr>
        <w:t>8</w:t>
      </w:r>
      <w:r w:rsidRPr="00E27618">
        <w:rPr>
          <w:rFonts w:eastAsia="Calibri"/>
          <w:szCs w:val="28"/>
        </w:rPr>
        <w:t xml:space="preserve"> в 2019 году, - </w:t>
      </w:r>
      <w:r w:rsidRPr="00E27618">
        <w:rPr>
          <w:rFonts w:eastAsia="Calibri"/>
          <w:b/>
          <w:szCs w:val="28"/>
        </w:rPr>
        <w:t>7</w:t>
      </w:r>
      <w:r w:rsidRPr="00E27618">
        <w:rPr>
          <w:rFonts w:eastAsia="Calibri"/>
          <w:szCs w:val="28"/>
        </w:rPr>
        <w:t xml:space="preserve"> (в 2017 году было 14 предупреждений).</w:t>
      </w:r>
    </w:p>
    <w:p w:rsidR="0010152D" w:rsidRPr="00E27618" w:rsidRDefault="0010152D" w:rsidP="0010152D">
      <w:pPr>
        <w:pStyle w:val="a3"/>
        <w:tabs>
          <w:tab w:val="left" w:pos="5245"/>
          <w:tab w:val="left" w:pos="9921"/>
        </w:tabs>
        <w:spacing w:before="240"/>
        <w:ind w:left="0" w:firstLine="709"/>
        <w:jc w:val="both"/>
        <w:rPr>
          <w:szCs w:val="28"/>
          <w:u w:val="single"/>
        </w:rPr>
      </w:pPr>
      <w:r w:rsidRPr="00E27618">
        <w:rPr>
          <w:szCs w:val="28"/>
          <w:u w:val="single"/>
        </w:rPr>
        <w:t>Пример дела по недобросовестной конкуренции по статье 14</w:t>
      </w:r>
      <w:r w:rsidRPr="00E27618">
        <w:rPr>
          <w:szCs w:val="28"/>
          <w:u w:val="single"/>
          <w:vertAlign w:val="superscript"/>
        </w:rPr>
        <w:t xml:space="preserve">5 </w:t>
      </w:r>
      <w:r w:rsidRPr="00E27618">
        <w:rPr>
          <w:szCs w:val="28"/>
          <w:u w:val="single"/>
        </w:rPr>
        <w:t>Федерального закона «О защите конкуренции»</w:t>
      </w:r>
      <w:r w:rsidRPr="00E27618">
        <w:rPr>
          <w:szCs w:val="28"/>
        </w:rPr>
        <w:t>:</w:t>
      </w:r>
    </w:p>
    <w:p w:rsidR="0010152D" w:rsidRPr="00E27618" w:rsidRDefault="0010152D" w:rsidP="0010152D">
      <w:pPr>
        <w:shd w:val="clear" w:color="auto" w:fill="FFFFFF"/>
        <w:tabs>
          <w:tab w:val="left" w:pos="5245"/>
        </w:tabs>
        <w:spacing w:before="120"/>
        <w:ind w:firstLine="709"/>
        <w:jc w:val="both"/>
        <w:rPr>
          <w:i/>
          <w:szCs w:val="28"/>
        </w:rPr>
      </w:pPr>
      <w:r w:rsidRPr="00E27618">
        <w:rPr>
          <w:i/>
          <w:szCs w:val="28"/>
        </w:rPr>
        <w:t xml:space="preserve">Ульяновским УФАС России рассмотрено дело № </w:t>
      </w:r>
      <w:bookmarkStart w:id="1" w:name="%25D0%259D%25D0%25BE%25D0%25BC%25D0%25B5"/>
      <w:bookmarkEnd w:id="1"/>
      <w:r w:rsidRPr="00E27618">
        <w:rPr>
          <w:i/>
          <w:szCs w:val="28"/>
        </w:rPr>
        <w:t>15320/06-2018 по заявлению ООО «Дельта+».  Решением от 03.06.2019 признаны недобросовестной конкуренцией, нарушением ст. 14.5 Федерального закона «О защите конкуренции»:</w:t>
      </w:r>
    </w:p>
    <w:p w:rsidR="0010152D" w:rsidRPr="00E27618" w:rsidRDefault="0010152D" w:rsidP="0010152D">
      <w:pPr>
        <w:tabs>
          <w:tab w:val="left" w:pos="5245"/>
        </w:tabs>
        <w:ind w:firstLine="709"/>
        <w:jc w:val="both"/>
        <w:rPr>
          <w:i/>
          <w:szCs w:val="28"/>
        </w:rPr>
      </w:pPr>
      <w:r w:rsidRPr="00E27618">
        <w:rPr>
          <w:i/>
          <w:szCs w:val="28"/>
        </w:rPr>
        <w:t>- действия</w:t>
      </w:r>
      <w:bookmarkStart w:id="2" w:name="ОПФ"/>
      <w:bookmarkEnd w:id="2"/>
      <w:r w:rsidRPr="00E27618">
        <w:rPr>
          <w:i/>
          <w:szCs w:val="28"/>
        </w:rPr>
        <w:t xml:space="preserve"> </w:t>
      </w:r>
      <w:bookmarkStart w:id="3" w:name="Ответчик_1"/>
      <w:bookmarkEnd w:id="3"/>
      <w:r w:rsidRPr="00E27618">
        <w:rPr>
          <w:i/>
          <w:szCs w:val="28"/>
        </w:rPr>
        <w:t>ООО «Симкор» по размещению на сайте в сети «Интернет» изображения кухни с фасадом, сходным с промышленным образцом, защищенным патентом Российской Федерации № 97212, которые можно приобрести в фирменных салонах «Симкор»;</w:t>
      </w:r>
    </w:p>
    <w:p w:rsidR="0010152D" w:rsidRPr="00E27618" w:rsidRDefault="0010152D" w:rsidP="0010152D">
      <w:pPr>
        <w:tabs>
          <w:tab w:val="left" w:pos="5245"/>
        </w:tabs>
        <w:ind w:firstLine="709"/>
        <w:jc w:val="both"/>
        <w:rPr>
          <w:i/>
          <w:szCs w:val="28"/>
        </w:rPr>
      </w:pPr>
      <w:r w:rsidRPr="00E27618">
        <w:rPr>
          <w:i/>
          <w:szCs w:val="28"/>
        </w:rPr>
        <w:t>- действия ООО «Акрон» по производству и продаже (введению в гражданский оборот) кухонной мебели, в фасадах которой незаконно используются результаты интеллектуальной деятельности - промышленный образец, охраняемый на основании патента Российской Федерации № 97212.</w:t>
      </w:r>
    </w:p>
    <w:p w:rsidR="0010152D" w:rsidRPr="00E27618" w:rsidRDefault="0010152D" w:rsidP="0010152D">
      <w:pPr>
        <w:tabs>
          <w:tab w:val="left" w:pos="5245"/>
        </w:tabs>
        <w:spacing w:before="120"/>
        <w:ind w:firstLine="709"/>
        <w:jc w:val="both"/>
        <w:rPr>
          <w:i/>
          <w:szCs w:val="28"/>
        </w:rPr>
      </w:pPr>
      <w:r w:rsidRPr="00E27618">
        <w:rPr>
          <w:i/>
          <w:szCs w:val="28"/>
        </w:rPr>
        <w:t>На основании решения от 03.06.2019 управлением выданы предписания о прекращении нарушения антимонопольного законодательства Российской Федерации:</w:t>
      </w:r>
    </w:p>
    <w:p w:rsidR="0010152D" w:rsidRPr="00E27618" w:rsidRDefault="0010152D" w:rsidP="0010152D">
      <w:pPr>
        <w:tabs>
          <w:tab w:val="left" w:pos="5245"/>
        </w:tabs>
        <w:ind w:firstLine="709"/>
        <w:jc w:val="both"/>
        <w:rPr>
          <w:i/>
          <w:szCs w:val="28"/>
        </w:rPr>
      </w:pPr>
      <w:r w:rsidRPr="00E27618">
        <w:rPr>
          <w:i/>
          <w:szCs w:val="28"/>
        </w:rPr>
        <w:t>- ООО «Симкор» - путём прекращения использования на сайте в сети «Интернет» изображения кухни с фасадом, сходным с промышленным образцом, защищенным патентом Российской Федерации № 97212;</w:t>
      </w:r>
    </w:p>
    <w:p w:rsidR="0010152D" w:rsidRPr="00E27618" w:rsidRDefault="0010152D" w:rsidP="0010152D">
      <w:pPr>
        <w:tabs>
          <w:tab w:val="left" w:pos="5245"/>
        </w:tabs>
        <w:ind w:firstLine="709"/>
        <w:jc w:val="both"/>
        <w:rPr>
          <w:i/>
          <w:szCs w:val="28"/>
        </w:rPr>
      </w:pPr>
      <w:r w:rsidRPr="00E27618">
        <w:rPr>
          <w:i/>
          <w:szCs w:val="28"/>
        </w:rPr>
        <w:t>- ООО «Акрон» - путём прекращения производства и введения в оборот кухонной мебели, в фасадах которой незаконно используются результаты интеллектуальной деятельности - промышленный образец, охраняемый на основании патента Российской Федерации № 97212.</w:t>
      </w:r>
    </w:p>
    <w:p w:rsidR="0010152D" w:rsidRPr="00E27618" w:rsidRDefault="0010152D" w:rsidP="0010152D">
      <w:pPr>
        <w:tabs>
          <w:tab w:val="left" w:pos="5245"/>
        </w:tabs>
        <w:spacing w:before="120"/>
        <w:ind w:firstLine="709"/>
        <w:jc w:val="both"/>
        <w:rPr>
          <w:szCs w:val="28"/>
        </w:rPr>
      </w:pPr>
      <w:r w:rsidRPr="00E27618">
        <w:rPr>
          <w:i/>
          <w:szCs w:val="28"/>
        </w:rPr>
        <w:t xml:space="preserve">За осуществление недобросовестной конкуренции ООО «Симкор» и ООО «Акрон» привлечены к административной ответственности в виде штрафа в размере 100 000 руб. (каждое из юридических лиц) по ч. 2 ст. 14.33 КоАП РФ постановлениями Ульяновского УФАС России от 03.10.2019.  </w:t>
      </w:r>
      <w:r w:rsidRPr="00E27618">
        <w:rPr>
          <w:i/>
          <w:szCs w:val="28"/>
        </w:rPr>
        <w:lastRenderedPageBreak/>
        <w:t>Определениями от 06.11.2019 возбуждены дела об административном правонарушении по ч. 2 ст. 14.33 КоАП РФ в отношении руководителей обществ (на конец 2019 года - находились в стадии рассмотрения).</w:t>
      </w:r>
    </w:p>
    <w:p w:rsidR="0010152D" w:rsidRPr="00E27618" w:rsidRDefault="0010152D" w:rsidP="0010152D">
      <w:pPr>
        <w:shd w:val="clear" w:color="auto" w:fill="FFFFFF"/>
        <w:tabs>
          <w:tab w:val="left" w:pos="5245"/>
        </w:tabs>
        <w:spacing w:before="240" w:line="242" w:lineRule="atLeast"/>
        <w:ind w:firstLine="709"/>
        <w:jc w:val="both"/>
        <w:rPr>
          <w:szCs w:val="28"/>
        </w:rPr>
      </w:pPr>
      <w:r w:rsidRPr="00E27618">
        <w:rPr>
          <w:szCs w:val="28"/>
        </w:rPr>
        <w:t>Административная ответственность за недобросовестную конкуренцию предусмотрена ст. 14.33 Кодекса Российской Федерации об административных правонарушениях:</w:t>
      </w:r>
    </w:p>
    <w:p w:rsidR="0010152D" w:rsidRPr="00E27618" w:rsidRDefault="0010152D" w:rsidP="0010152D">
      <w:pPr>
        <w:shd w:val="clear" w:color="auto" w:fill="FFFFFF"/>
        <w:tabs>
          <w:tab w:val="left" w:pos="5245"/>
        </w:tabs>
        <w:spacing w:line="242" w:lineRule="atLeast"/>
        <w:ind w:firstLine="709"/>
        <w:jc w:val="both"/>
        <w:rPr>
          <w:szCs w:val="28"/>
        </w:rPr>
      </w:pPr>
      <w:r w:rsidRPr="00E27618">
        <w:rPr>
          <w:rStyle w:val="blk"/>
          <w:szCs w:val="28"/>
        </w:rPr>
        <w:t>1. Недобросовестная конкуренция, если эти действия не содержат </w:t>
      </w:r>
      <w:hyperlink r:id="rId26" w:anchor="dst61" w:history="1">
        <w:r w:rsidRPr="00E27618">
          <w:rPr>
            <w:rStyle w:val="a7"/>
            <w:szCs w:val="28"/>
          </w:rPr>
          <w:t>уголовно наказуемого деяния</w:t>
        </w:r>
      </w:hyperlink>
      <w:r w:rsidRPr="00E27618">
        <w:rPr>
          <w:rStyle w:val="blk"/>
          <w:szCs w:val="28"/>
        </w:rPr>
        <w:t>, за исключением случаев, предусмотренных </w:t>
      </w:r>
      <w:hyperlink r:id="rId27" w:anchor="dst101198" w:history="1">
        <w:r w:rsidRPr="00E27618">
          <w:rPr>
            <w:rStyle w:val="a7"/>
            <w:szCs w:val="28"/>
          </w:rPr>
          <w:t>статьей 14.3</w:t>
        </w:r>
      </w:hyperlink>
      <w:r w:rsidRPr="00E27618">
        <w:rPr>
          <w:rStyle w:val="blk"/>
          <w:szCs w:val="28"/>
        </w:rPr>
        <w:t> настоящего Кодекса и </w:t>
      </w:r>
      <w:hyperlink r:id="rId28" w:anchor="dst978" w:history="1">
        <w:r w:rsidRPr="00E27618">
          <w:rPr>
            <w:rStyle w:val="a7"/>
            <w:szCs w:val="28"/>
          </w:rPr>
          <w:t>частью 2</w:t>
        </w:r>
      </w:hyperlink>
      <w:r w:rsidRPr="00E27618">
        <w:rPr>
          <w:rStyle w:val="blk"/>
          <w:szCs w:val="28"/>
        </w:rPr>
        <w:t xml:space="preserve"> настоящей статьи, </w:t>
      </w:r>
      <w:bookmarkStart w:id="4" w:name="dst103772"/>
      <w:bookmarkEnd w:id="4"/>
      <w:r w:rsidRPr="00E27618">
        <w:rPr>
          <w:rStyle w:val="blk"/>
          <w:szCs w:val="28"/>
        </w:rPr>
        <w:t xml:space="preserve">влечет наложение административного штрафа на должностных лиц в размере </w:t>
      </w:r>
      <w:r w:rsidRPr="00E27618">
        <w:rPr>
          <w:rStyle w:val="blk"/>
          <w:b/>
          <w:szCs w:val="28"/>
        </w:rPr>
        <w:t>от 12 000 до 20 000 рублей</w:t>
      </w:r>
      <w:r w:rsidRPr="00E27618">
        <w:rPr>
          <w:rStyle w:val="blk"/>
          <w:szCs w:val="28"/>
        </w:rPr>
        <w:t xml:space="preserve">; на юридических лиц - </w:t>
      </w:r>
      <w:r w:rsidRPr="00E27618">
        <w:rPr>
          <w:rStyle w:val="blk"/>
          <w:b/>
          <w:szCs w:val="28"/>
        </w:rPr>
        <w:t>от 100 000 до 500 000 рублей</w:t>
      </w:r>
      <w:r w:rsidRPr="00E27618">
        <w:rPr>
          <w:rStyle w:val="blk"/>
          <w:szCs w:val="28"/>
        </w:rPr>
        <w:t>.</w:t>
      </w:r>
    </w:p>
    <w:p w:rsidR="0010152D" w:rsidRPr="00E27618" w:rsidRDefault="0010152D" w:rsidP="0010152D">
      <w:pPr>
        <w:shd w:val="clear" w:color="auto" w:fill="FFFFFF"/>
        <w:tabs>
          <w:tab w:val="left" w:pos="5245"/>
        </w:tabs>
        <w:spacing w:line="242" w:lineRule="atLeast"/>
        <w:ind w:firstLine="709"/>
        <w:jc w:val="both"/>
        <w:rPr>
          <w:szCs w:val="28"/>
        </w:rPr>
      </w:pPr>
      <w:bookmarkStart w:id="5" w:name="dst978"/>
      <w:bookmarkEnd w:id="5"/>
      <w:r w:rsidRPr="00E27618">
        <w:rPr>
          <w:rStyle w:val="blk"/>
          <w:szCs w:val="28"/>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6" w:name="dst103773"/>
      <w:bookmarkEnd w:id="6"/>
      <w:r w:rsidRPr="00E27618">
        <w:rPr>
          <w:rStyle w:val="blk"/>
          <w:szCs w:val="28"/>
        </w:rPr>
        <w:t xml:space="preserve">влечет наложение административного штрафа на должностных лиц в размере </w:t>
      </w:r>
      <w:r w:rsidRPr="00E27618">
        <w:rPr>
          <w:rStyle w:val="blk"/>
          <w:b/>
          <w:szCs w:val="28"/>
        </w:rPr>
        <w:t>20 000 рублей</w:t>
      </w:r>
      <w:r w:rsidRPr="00E27618">
        <w:rPr>
          <w:rStyle w:val="blk"/>
          <w:szCs w:val="28"/>
        </w:rPr>
        <w:t xml:space="preserve"> либо </w:t>
      </w:r>
      <w:r w:rsidRPr="00E27618">
        <w:rPr>
          <w:rStyle w:val="blk"/>
          <w:b/>
          <w:szCs w:val="28"/>
        </w:rPr>
        <w:t>дисквалификацию</w:t>
      </w:r>
      <w:r w:rsidRPr="00E27618">
        <w:rPr>
          <w:rStyle w:val="blk"/>
          <w:szCs w:val="28"/>
        </w:rPr>
        <w:t xml:space="preserve"> на срок до трех лет; на юридических лиц - от </w:t>
      </w:r>
      <w:r w:rsidRPr="00E27618">
        <w:rPr>
          <w:rStyle w:val="blk"/>
          <w:b/>
          <w:szCs w:val="28"/>
        </w:rPr>
        <w:t>0,01</w:t>
      </w:r>
      <w:r w:rsidRPr="00E27618">
        <w:rPr>
          <w:rStyle w:val="blk"/>
          <w:szCs w:val="28"/>
        </w:rPr>
        <w:t xml:space="preserve"> до </w:t>
      </w:r>
      <w:r w:rsidRPr="00E27618">
        <w:rPr>
          <w:rStyle w:val="blk"/>
          <w:b/>
          <w:szCs w:val="28"/>
        </w:rPr>
        <w:t>0,15</w:t>
      </w:r>
      <w:r w:rsidRPr="00E27618">
        <w:rPr>
          <w:rStyle w:val="blk"/>
          <w:szCs w:val="28"/>
        </w:rPr>
        <w:t xml:space="preserve"> размера суммы </w:t>
      </w:r>
      <w:hyperlink r:id="rId29" w:anchor="dst3388" w:history="1">
        <w:r w:rsidRPr="00E27618">
          <w:rPr>
            <w:rStyle w:val="a7"/>
            <w:szCs w:val="28"/>
          </w:rPr>
          <w:t>выручки</w:t>
        </w:r>
      </w:hyperlink>
      <w:r w:rsidRPr="00E27618">
        <w:rPr>
          <w:rStyle w:val="blk"/>
          <w:szCs w:val="28"/>
        </w:rPr>
        <w:t xml:space="preserve"> правонарушителя от реализации товара (работы, услуги), на рынке которого совершено правонарушение, но не менее </w:t>
      </w:r>
      <w:r w:rsidRPr="00E27618">
        <w:rPr>
          <w:rStyle w:val="blk"/>
          <w:b/>
          <w:szCs w:val="28"/>
        </w:rPr>
        <w:t>100 000 рублей</w:t>
      </w:r>
      <w:r w:rsidRPr="00E27618">
        <w:rPr>
          <w:rStyle w:val="blk"/>
          <w:szCs w:val="28"/>
        </w:rPr>
        <w:t>.</w:t>
      </w:r>
    </w:p>
    <w:p w:rsidR="0010152D" w:rsidRPr="00E27618" w:rsidRDefault="0010152D" w:rsidP="0010152D">
      <w:pPr>
        <w:pStyle w:val="31"/>
        <w:tabs>
          <w:tab w:val="left" w:pos="5245"/>
          <w:tab w:val="left" w:pos="9921"/>
        </w:tabs>
        <w:spacing w:before="120" w:after="0"/>
        <w:ind w:left="0" w:firstLine="709"/>
        <w:jc w:val="both"/>
        <w:rPr>
          <w:szCs w:val="28"/>
        </w:rPr>
      </w:pPr>
      <w:r w:rsidRPr="00E27618">
        <w:rPr>
          <w:szCs w:val="28"/>
          <w:u w:val="single"/>
        </w:rPr>
        <w:t>Исполнение предупреждения антимонопольного органа освобождает от штрафов</w:t>
      </w:r>
      <w:r w:rsidRPr="00E27618">
        <w:rPr>
          <w:szCs w:val="28"/>
        </w:rPr>
        <w:t>.</w:t>
      </w:r>
    </w:p>
    <w:p w:rsidR="0010152D" w:rsidRPr="00E27618" w:rsidRDefault="0010152D" w:rsidP="0010152D">
      <w:pPr>
        <w:pStyle w:val="31"/>
        <w:tabs>
          <w:tab w:val="left" w:pos="5245"/>
          <w:tab w:val="left" w:pos="9921"/>
        </w:tabs>
        <w:spacing w:before="120" w:after="0"/>
        <w:ind w:left="0" w:firstLine="709"/>
        <w:jc w:val="both"/>
        <w:rPr>
          <w:szCs w:val="28"/>
          <w:shd w:val="clear" w:color="auto" w:fill="FFFFFF"/>
        </w:rPr>
      </w:pPr>
      <w:r w:rsidRPr="00E27618">
        <w:rPr>
          <w:szCs w:val="28"/>
        </w:rPr>
        <w:t xml:space="preserve">В 2019 году Ульяновским УФАС России рассмотрено </w:t>
      </w:r>
      <w:r w:rsidRPr="00E27618">
        <w:rPr>
          <w:b/>
          <w:szCs w:val="28"/>
        </w:rPr>
        <w:t>3</w:t>
      </w:r>
      <w:r w:rsidRPr="00E27618">
        <w:rPr>
          <w:szCs w:val="28"/>
        </w:rPr>
        <w:t xml:space="preserve"> дела об административном правонарушении по ст. 14.33 КоАП РФ (в 2018 году было 9 дел).  Вынесено </w:t>
      </w:r>
      <w:r w:rsidRPr="00E27618">
        <w:rPr>
          <w:b/>
          <w:szCs w:val="28"/>
        </w:rPr>
        <w:t>3</w:t>
      </w:r>
      <w:r w:rsidRPr="00E27618">
        <w:rPr>
          <w:szCs w:val="28"/>
        </w:rPr>
        <w:t xml:space="preserve"> постановления о назначении штрафов на общую сумму </w:t>
      </w:r>
      <w:r w:rsidRPr="00E27618">
        <w:rPr>
          <w:b/>
          <w:szCs w:val="28"/>
        </w:rPr>
        <w:t>220,0 тыс. руб.</w:t>
      </w:r>
      <w:r w:rsidRPr="00E27618">
        <w:rPr>
          <w:szCs w:val="28"/>
        </w:rPr>
        <w:t xml:space="preserve">, штрафов оплачено на общую сумму </w:t>
      </w:r>
      <w:r w:rsidRPr="00E27618">
        <w:rPr>
          <w:b/>
          <w:szCs w:val="28"/>
        </w:rPr>
        <w:t>228,0 тыс. руб.</w:t>
      </w:r>
      <w:r w:rsidRPr="00E27618">
        <w:rPr>
          <w:szCs w:val="28"/>
        </w:rPr>
        <w:t xml:space="preserve"> - </w:t>
      </w:r>
      <w:r w:rsidRPr="00E27618">
        <w:rPr>
          <w:bCs/>
          <w:szCs w:val="28"/>
        </w:rPr>
        <w:t xml:space="preserve">с учетом постановлений, вынесенных в предыдущие периоды (в 2018 году - </w:t>
      </w:r>
      <w:r w:rsidRPr="00E27618">
        <w:rPr>
          <w:szCs w:val="28"/>
        </w:rPr>
        <w:t>828,0 тыс. руб.</w:t>
      </w:r>
      <w:r w:rsidRPr="00E27618">
        <w:rPr>
          <w:bCs/>
          <w:szCs w:val="28"/>
        </w:rPr>
        <w:t xml:space="preserve"> и </w:t>
      </w:r>
      <w:r w:rsidRPr="00E27618">
        <w:rPr>
          <w:szCs w:val="28"/>
        </w:rPr>
        <w:t>440,0 тыс. руб.</w:t>
      </w:r>
      <w:r w:rsidRPr="00E27618">
        <w:rPr>
          <w:bCs/>
          <w:szCs w:val="28"/>
        </w:rPr>
        <w:t>, соответственно).</w:t>
      </w:r>
    </w:p>
    <w:p w:rsidR="0010152D" w:rsidRPr="00E27618" w:rsidRDefault="0010152D" w:rsidP="0010152D">
      <w:pPr>
        <w:pStyle w:val="31"/>
        <w:tabs>
          <w:tab w:val="left" w:pos="5245"/>
          <w:tab w:val="left" w:pos="9921"/>
        </w:tabs>
        <w:spacing w:after="0"/>
        <w:ind w:left="0" w:firstLine="709"/>
        <w:jc w:val="both"/>
        <w:rPr>
          <w:szCs w:val="28"/>
          <w:shd w:val="clear" w:color="auto" w:fill="FFFFFF"/>
        </w:rPr>
      </w:pPr>
    </w:p>
    <w:p w:rsidR="0010152D" w:rsidRPr="00E27618" w:rsidRDefault="0010152D" w:rsidP="0010152D">
      <w:pPr>
        <w:pStyle w:val="31"/>
        <w:tabs>
          <w:tab w:val="left" w:pos="5245"/>
          <w:tab w:val="left" w:pos="9921"/>
        </w:tabs>
        <w:spacing w:after="0"/>
        <w:ind w:left="0" w:firstLine="709"/>
        <w:jc w:val="both"/>
        <w:rPr>
          <w:szCs w:val="28"/>
          <w:shd w:val="clear" w:color="auto" w:fill="FFFFFF"/>
        </w:rPr>
      </w:pPr>
    </w:p>
    <w:p w:rsidR="0010152D" w:rsidRPr="00E27618" w:rsidRDefault="0010152D" w:rsidP="0010152D">
      <w:pPr>
        <w:tabs>
          <w:tab w:val="left" w:pos="5245"/>
        </w:tabs>
        <w:autoSpaceDE w:val="0"/>
        <w:autoSpaceDN w:val="0"/>
        <w:adjustRightInd w:val="0"/>
        <w:ind w:right="-57"/>
        <w:jc w:val="center"/>
        <w:rPr>
          <w:b/>
          <w:szCs w:val="28"/>
          <w:u w:val="single"/>
        </w:rPr>
      </w:pPr>
      <w:r w:rsidRPr="00E27618">
        <w:rPr>
          <w:b/>
          <w:szCs w:val="28"/>
          <w:u w:val="single"/>
        </w:rPr>
        <w:t>Контроль за соблюдением законодательства о рекламе</w:t>
      </w:r>
    </w:p>
    <w:p w:rsidR="0010152D" w:rsidRPr="00E27618" w:rsidRDefault="0010152D" w:rsidP="0010152D">
      <w:pPr>
        <w:tabs>
          <w:tab w:val="left" w:pos="5245"/>
        </w:tabs>
        <w:spacing w:before="120"/>
        <w:ind w:firstLine="709"/>
        <w:jc w:val="both"/>
        <w:rPr>
          <w:szCs w:val="28"/>
        </w:rPr>
      </w:pPr>
      <w:r w:rsidRPr="00E27618">
        <w:rPr>
          <w:szCs w:val="28"/>
        </w:rPr>
        <w:t xml:space="preserve">В 2019 году Ульяновским УФАС России рассмотрено </w:t>
      </w:r>
      <w:r w:rsidRPr="00E27618">
        <w:rPr>
          <w:b/>
          <w:szCs w:val="28"/>
        </w:rPr>
        <w:t>63</w:t>
      </w:r>
      <w:r w:rsidRPr="00E27618">
        <w:rPr>
          <w:szCs w:val="28"/>
        </w:rPr>
        <w:t xml:space="preserve"> дела по признакам нарушения Федерального закона «О рекламе» (в 2018 году - 45), по которым принято </w:t>
      </w:r>
      <w:r w:rsidRPr="00E27618">
        <w:rPr>
          <w:b/>
          <w:szCs w:val="28"/>
        </w:rPr>
        <w:t>46</w:t>
      </w:r>
      <w:r w:rsidRPr="00E27618">
        <w:rPr>
          <w:szCs w:val="28"/>
        </w:rPr>
        <w:t xml:space="preserve"> решений о признании нарушения рекламного законодательства, </w:t>
      </w:r>
      <w:r w:rsidRPr="00E27618">
        <w:rPr>
          <w:b/>
          <w:szCs w:val="28"/>
        </w:rPr>
        <w:t>17</w:t>
      </w:r>
      <w:r w:rsidRPr="00E27618">
        <w:rPr>
          <w:szCs w:val="28"/>
        </w:rPr>
        <w:t xml:space="preserve"> дел прекращено по причине неподтверждения нарушения.  Выдано </w:t>
      </w:r>
      <w:r w:rsidRPr="00E27618">
        <w:rPr>
          <w:b/>
          <w:szCs w:val="28"/>
        </w:rPr>
        <w:t>10</w:t>
      </w:r>
      <w:r w:rsidRPr="00E27618">
        <w:rPr>
          <w:szCs w:val="28"/>
        </w:rPr>
        <w:t xml:space="preserve"> предписаний об устранении нарушения законодательства о рекламе.  За 2019 год в управление поступило </w:t>
      </w:r>
      <w:r w:rsidRPr="00E27618">
        <w:rPr>
          <w:b/>
          <w:szCs w:val="28"/>
        </w:rPr>
        <w:t>136</w:t>
      </w:r>
      <w:r w:rsidRPr="00E27618">
        <w:rPr>
          <w:szCs w:val="28"/>
        </w:rPr>
        <w:t xml:space="preserve"> заявлений о признаках нарушения рекламного законодательства, по </w:t>
      </w:r>
      <w:r w:rsidRPr="00E27618">
        <w:rPr>
          <w:b/>
          <w:szCs w:val="28"/>
        </w:rPr>
        <w:t>52</w:t>
      </w:r>
      <w:r w:rsidRPr="00E27618">
        <w:rPr>
          <w:szCs w:val="28"/>
        </w:rPr>
        <w:t xml:space="preserve"> (38,2% от общего количества; в 2018 году было 30,4%) из них возбуждены дела.</w:t>
      </w:r>
    </w:p>
    <w:p w:rsidR="0010152D" w:rsidRDefault="0010152D" w:rsidP="0010152D">
      <w:pPr>
        <w:tabs>
          <w:tab w:val="left" w:pos="5245"/>
        </w:tabs>
        <w:spacing w:before="120" w:after="240"/>
        <w:ind w:firstLine="709"/>
        <w:jc w:val="both"/>
        <w:rPr>
          <w:b/>
          <w:szCs w:val="28"/>
        </w:rPr>
      </w:pPr>
      <w:r w:rsidRPr="00155A3F">
        <w:rPr>
          <w:b/>
          <w:szCs w:val="28"/>
        </w:rPr>
        <w:lastRenderedPageBreak/>
        <w:t>Сравнение нарушений, допущенных при распространении рекламы в 2018 и 2019 годах:</w:t>
      </w:r>
    </w:p>
    <w:p w:rsidR="00155A3F" w:rsidRPr="00155A3F" w:rsidRDefault="00155A3F" w:rsidP="0010152D">
      <w:pPr>
        <w:tabs>
          <w:tab w:val="left" w:pos="5245"/>
        </w:tabs>
        <w:spacing w:before="120" w:after="240"/>
        <w:ind w:firstLine="709"/>
        <w:jc w:val="both"/>
        <w:rPr>
          <w:b/>
          <w:szCs w:val="28"/>
        </w:rPr>
      </w:pPr>
    </w:p>
    <w:tbl>
      <w:tblPr>
        <w:tblW w:w="10115" w:type="dxa"/>
        <w:tblInd w:w="-34" w:type="dxa"/>
        <w:tblLayout w:type="fixed"/>
        <w:tblLook w:val="04A0" w:firstRow="1" w:lastRow="0" w:firstColumn="1" w:lastColumn="0" w:noHBand="0" w:noVBand="1"/>
      </w:tblPr>
      <w:tblGrid>
        <w:gridCol w:w="851"/>
        <w:gridCol w:w="6237"/>
        <w:gridCol w:w="1559"/>
        <w:gridCol w:w="1468"/>
      </w:tblGrid>
      <w:tr w:rsidR="0010152D" w:rsidRPr="00E27618" w:rsidTr="00155A3F">
        <w:trPr>
          <w:trHeight w:val="900"/>
        </w:trPr>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jc w:val="center"/>
              <w:rPr>
                <w:szCs w:val="28"/>
              </w:rPr>
            </w:pPr>
            <w:r w:rsidRPr="00E27618">
              <w:rPr>
                <w:szCs w:val="28"/>
              </w:rPr>
              <w:t>№№ пп</w:t>
            </w:r>
          </w:p>
        </w:tc>
        <w:tc>
          <w:tcPr>
            <w:tcW w:w="6237" w:type="dxa"/>
            <w:tcBorders>
              <w:top w:val="single" w:sz="4" w:space="0" w:color="C0C0C0"/>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jc w:val="center"/>
              <w:rPr>
                <w:szCs w:val="28"/>
              </w:rPr>
            </w:pPr>
            <w:r w:rsidRPr="00E27618">
              <w:rPr>
                <w:szCs w:val="28"/>
              </w:rPr>
              <w:t xml:space="preserve">Выявленные нарушения </w:t>
            </w:r>
          </w:p>
          <w:p w:rsidR="0010152D" w:rsidRPr="00E27618" w:rsidRDefault="0010152D" w:rsidP="0096397B">
            <w:pPr>
              <w:tabs>
                <w:tab w:val="left" w:pos="5245"/>
              </w:tabs>
              <w:jc w:val="center"/>
              <w:rPr>
                <w:szCs w:val="28"/>
              </w:rPr>
            </w:pPr>
            <w:r w:rsidRPr="00E27618">
              <w:rPr>
                <w:szCs w:val="28"/>
              </w:rPr>
              <w:t>Федерального закона «О рекламе»</w:t>
            </w:r>
          </w:p>
        </w:tc>
        <w:tc>
          <w:tcPr>
            <w:tcW w:w="1559" w:type="dxa"/>
            <w:tcBorders>
              <w:top w:val="single" w:sz="4" w:space="0" w:color="C0C0C0"/>
              <w:left w:val="nil"/>
              <w:bottom w:val="single" w:sz="4" w:space="0" w:color="C0C0C0"/>
              <w:right w:val="single" w:sz="4" w:space="0" w:color="C0C0C0"/>
            </w:tcBorders>
            <w:shd w:val="clear" w:color="auto" w:fill="auto"/>
            <w:hideMark/>
          </w:tcPr>
          <w:p w:rsidR="0010152D" w:rsidRPr="00E27618" w:rsidRDefault="0010152D" w:rsidP="0096397B">
            <w:pPr>
              <w:tabs>
                <w:tab w:val="left" w:pos="5245"/>
              </w:tabs>
              <w:jc w:val="center"/>
              <w:rPr>
                <w:szCs w:val="28"/>
              </w:rPr>
            </w:pPr>
          </w:p>
          <w:p w:rsidR="0010152D" w:rsidRPr="00E27618" w:rsidRDefault="0010152D" w:rsidP="0096397B">
            <w:pPr>
              <w:tabs>
                <w:tab w:val="left" w:pos="5245"/>
              </w:tabs>
              <w:jc w:val="center"/>
              <w:rPr>
                <w:szCs w:val="28"/>
              </w:rPr>
            </w:pPr>
            <w:r w:rsidRPr="00E27618">
              <w:rPr>
                <w:szCs w:val="28"/>
              </w:rPr>
              <w:t>2018 год</w:t>
            </w:r>
          </w:p>
        </w:tc>
        <w:tc>
          <w:tcPr>
            <w:tcW w:w="1468" w:type="dxa"/>
            <w:tcBorders>
              <w:top w:val="single" w:sz="4" w:space="0" w:color="C0C0C0"/>
              <w:left w:val="nil"/>
              <w:bottom w:val="single" w:sz="4" w:space="0" w:color="C0C0C0"/>
              <w:right w:val="single" w:sz="4" w:space="0" w:color="C0C0C0"/>
            </w:tcBorders>
          </w:tcPr>
          <w:p w:rsidR="0010152D" w:rsidRPr="00E27618" w:rsidRDefault="0010152D" w:rsidP="0096397B">
            <w:pPr>
              <w:tabs>
                <w:tab w:val="left" w:pos="5245"/>
              </w:tabs>
              <w:jc w:val="center"/>
              <w:rPr>
                <w:szCs w:val="28"/>
              </w:rPr>
            </w:pPr>
          </w:p>
          <w:p w:rsidR="0010152D" w:rsidRPr="00E27618" w:rsidRDefault="0010152D" w:rsidP="0096397B">
            <w:pPr>
              <w:tabs>
                <w:tab w:val="left" w:pos="5245"/>
              </w:tabs>
              <w:jc w:val="center"/>
              <w:rPr>
                <w:szCs w:val="28"/>
              </w:rPr>
            </w:pPr>
            <w:r w:rsidRPr="00E27618">
              <w:rPr>
                <w:szCs w:val="28"/>
              </w:rPr>
              <w:t>2019 год</w:t>
            </w:r>
          </w:p>
        </w:tc>
      </w:tr>
      <w:tr w:rsidR="0010152D" w:rsidRPr="00E27618" w:rsidTr="00155A3F">
        <w:trPr>
          <w:trHeight w:val="375"/>
        </w:trPr>
        <w:tc>
          <w:tcPr>
            <w:tcW w:w="851" w:type="dxa"/>
            <w:tcBorders>
              <w:top w:val="nil"/>
              <w:left w:val="single" w:sz="4" w:space="0" w:color="C0C0C0"/>
              <w:bottom w:val="nil"/>
              <w:right w:val="single" w:sz="4" w:space="0" w:color="C0C0C0"/>
            </w:tcBorders>
            <w:shd w:val="clear" w:color="auto" w:fill="auto"/>
            <w:vAlign w:val="center"/>
            <w:hideMark/>
          </w:tcPr>
          <w:p w:rsidR="0010152D" w:rsidRPr="00E27618" w:rsidRDefault="0010152D" w:rsidP="0096397B">
            <w:pPr>
              <w:tabs>
                <w:tab w:val="left" w:pos="5245"/>
              </w:tabs>
              <w:jc w:val="center"/>
              <w:rPr>
                <w:szCs w:val="28"/>
              </w:rPr>
            </w:pPr>
            <w:r w:rsidRPr="00E27618">
              <w:rPr>
                <w:szCs w:val="28"/>
              </w:rPr>
              <w:t>А</w:t>
            </w:r>
          </w:p>
        </w:tc>
        <w:tc>
          <w:tcPr>
            <w:tcW w:w="6237" w:type="dxa"/>
            <w:tcBorders>
              <w:top w:val="nil"/>
              <w:left w:val="nil"/>
              <w:bottom w:val="nil"/>
              <w:right w:val="single" w:sz="4" w:space="0" w:color="C0C0C0"/>
            </w:tcBorders>
            <w:shd w:val="clear" w:color="auto" w:fill="auto"/>
            <w:vAlign w:val="center"/>
            <w:hideMark/>
          </w:tcPr>
          <w:p w:rsidR="0010152D" w:rsidRPr="00E27618" w:rsidRDefault="0010152D" w:rsidP="0096397B">
            <w:pPr>
              <w:tabs>
                <w:tab w:val="left" w:pos="5245"/>
              </w:tabs>
              <w:jc w:val="center"/>
              <w:rPr>
                <w:szCs w:val="28"/>
              </w:rPr>
            </w:pPr>
            <w:r w:rsidRPr="00E27618">
              <w:rPr>
                <w:szCs w:val="28"/>
              </w:rPr>
              <w:t>Б</w:t>
            </w:r>
          </w:p>
        </w:tc>
        <w:tc>
          <w:tcPr>
            <w:tcW w:w="1559" w:type="dxa"/>
            <w:tcBorders>
              <w:top w:val="nil"/>
              <w:left w:val="nil"/>
              <w:bottom w:val="nil"/>
              <w:right w:val="single" w:sz="4" w:space="0" w:color="C0C0C0"/>
            </w:tcBorders>
            <w:shd w:val="clear" w:color="auto" w:fill="auto"/>
            <w:vAlign w:val="center"/>
            <w:hideMark/>
          </w:tcPr>
          <w:p w:rsidR="0010152D" w:rsidRPr="00E27618" w:rsidRDefault="0010152D" w:rsidP="0096397B">
            <w:pPr>
              <w:tabs>
                <w:tab w:val="left" w:pos="5245"/>
              </w:tabs>
              <w:jc w:val="center"/>
              <w:rPr>
                <w:szCs w:val="28"/>
              </w:rPr>
            </w:pPr>
            <w:r w:rsidRPr="00E27618">
              <w:rPr>
                <w:szCs w:val="28"/>
              </w:rPr>
              <w:t>1</w:t>
            </w:r>
          </w:p>
        </w:tc>
        <w:tc>
          <w:tcPr>
            <w:tcW w:w="1468" w:type="dxa"/>
            <w:tcBorders>
              <w:top w:val="nil"/>
              <w:left w:val="nil"/>
              <w:bottom w:val="nil"/>
              <w:right w:val="single" w:sz="4" w:space="0" w:color="C0C0C0"/>
            </w:tcBorders>
          </w:tcPr>
          <w:p w:rsidR="0010152D" w:rsidRPr="00E27618" w:rsidRDefault="0010152D" w:rsidP="0096397B">
            <w:pPr>
              <w:tabs>
                <w:tab w:val="left" w:pos="5245"/>
              </w:tabs>
              <w:jc w:val="center"/>
              <w:rPr>
                <w:szCs w:val="28"/>
              </w:rPr>
            </w:pPr>
            <w:r w:rsidRPr="00E27618">
              <w:rPr>
                <w:szCs w:val="28"/>
              </w:rPr>
              <w:t>2</w:t>
            </w:r>
          </w:p>
        </w:tc>
      </w:tr>
      <w:tr w:rsidR="0010152D" w:rsidRPr="00E27618" w:rsidTr="00155A3F">
        <w:trPr>
          <w:trHeight w:val="375"/>
        </w:trPr>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jc w:val="center"/>
              <w:rPr>
                <w:szCs w:val="28"/>
              </w:rPr>
            </w:pPr>
            <w:r w:rsidRPr="00E27618">
              <w:rPr>
                <w:szCs w:val="28"/>
              </w:rPr>
              <w:t>1</w:t>
            </w:r>
          </w:p>
        </w:tc>
        <w:tc>
          <w:tcPr>
            <w:tcW w:w="6237" w:type="dxa"/>
            <w:tcBorders>
              <w:top w:val="single" w:sz="4" w:space="0" w:color="C0C0C0"/>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ст.5, ч.2 - недобросовестная реклама</w:t>
            </w:r>
          </w:p>
        </w:tc>
        <w:tc>
          <w:tcPr>
            <w:tcW w:w="1559" w:type="dxa"/>
            <w:tcBorders>
              <w:top w:val="single" w:sz="4" w:space="0" w:color="C0C0C0"/>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7</w:t>
            </w:r>
          </w:p>
        </w:tc>
        <w:tc>
          <w:tcPr>
            <w:tcW w:w="1468" w:type="dxa"/>
            <w:tcBorders>
              <w:top w:val="single" w:sz="4" w:space="0" w:color="C0C0C0"/>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5</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jc w:val="center"/>
              <w:rPr>
                <w:szCs w:val="28"/>
              </w:rPr>
            </w:pPr>
            <w:r w:rsidRPr="00E27618">
              <w:rPr>
                <w:szCs w:val="28"/>
              </w:rPr>
              <w:t>2</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ст.5, ч.3 - недостоверная реклама</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b/>
                <w:szCs w:val="28"/>
              </w:rPr>
            </w:pPr>
            <w:r w:rsidRPr="00E27618">
              <w:rPr>
                <w:b/>
                <w:szCs w:val="28"/>
              </w:rPr>
              <w:t>11</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b/>
                <w:szCs w:val="28"/>
              </w:rPr>
            </w:pPr>
            <w:r w:rsidRPr="00E27618">
              <w:rPr>
                <w:b/>
                <w:szCs w:val="28"/>
              </w:rPr>
              <w:t>10</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jc w:val="center"/>
              <w:rPr>
                <w:szCs w:val="28"/>
              </w:rPr>
            </w:pPr>
            <w:r w:rsidRPr="00E27618">
              <w:rPr>
                <w:szCs w:val="28"/>
              </w:rPr>
              <w:t>3</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ст.5, ч.5 - в рекламе не допускается</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4</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0</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jc w:val="center"/>
              <w:rPr>
                <w:szCs w:val="28"/>
              </w:rPr>
            </w:pPr>
            <w:r w:rsidRPr="00E27618">
              <w:rPr>
                <w:szCs w:val="28"/>
              </w:rPr>
              <w:t>4</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ст.5, ч.7 - отсутствие существенной информации в рекламе</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6</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8</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jc w:val="center"/>
              <w:rPr>
                <w:szCs w:val="28"/>
              </w:rPr>
            </w:pPr>
            <w:r w:rsidRPr="00E27618">
              <w:rPr>
                <w:szCs w:val="28"/>
              </w:rPr>
              <w:t>5</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ст.5, ч.11 - о соблюдении законодательства РФ</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b/>
                <w:szCs w:val="28"/>
              </w:rPr>
            </w:pPr>
            <w:r w:rsidRPr="00E27618">
              <w:rPr>
                <w:b/>
                <w:szCs w:val="28"/>
              </w:rPr>
              <w:t>10</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b/>
                <w:szCs w:val="28"/>
              </w:rPr>
            </w:pPr>
            <w:r w:rsidRPr="00E27618">
              <w:rPr>
                <w:b/>
                <w:szCs w:val="28"/>
              </w:rPr>
              <w:t>13</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jc w:val="center"/>
              <w:rPr>
                <w:szCs w:val="28"/>
              </w:rPr>
            </w:pPr>
            <w:r w:rsidRPr="00E27618">
              <w:rPr>
                <w:szCs w:val="28"/>
              </w:rPr>
              <w:t>6</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ст.7 - запрещенные к рекламе товары</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2</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0</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jc w:val="center"/>
              <w:rPr>
                <w:szCs w:val="28"/>
              </w:rPr>
            </w:pPr>
            <w:r w:rsidRPr="00E27618">
              <w:rPr>
                <w:szCs w:val="28"/>
              </w:rPr>
              <w:t>7</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ст.8 - дистанционные продажи в рекламе</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3</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1</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8</w:t>
            </w:r>
          </w:p>
        </w:tc>
        <w:tc>
          <w:tcPr>
            <w:tcW w:w="6237" w:type="dxa"/>
            <w:tcBorders>
              <w:top w:val="nil"/>
              <w:left w:val="nil"/>
              <w:bottom w:val="single" w:sz="4" w:space="0" w:color="C0C0C0"/>
              <w:right w:val="single" w:sz="4" w:space="0" w:color="C0C0C0"/>
            </w:tcBorders>
            <w:shd w:val="clear" w:color="auto" w:fill="auto"/>
            <w:vAlign w:val="center"/>
          </w:tcPr>
          <w:p w:rsidR="0010152D" w:rsidRPr="00E27618" w:rsidRDefault="0010152D" w:rsidP="0096397B">
            <w:pPr>
              <w:tabs>
                <w:tab w:val="left" w:pos="5245"/>
              </w:tabs>
              <w:rPr>
                <w:szCs w:val="28"/>
              </w:rPr>
            </w:pPr>
            <w:r w:rsidRPr="00E27618">
              <w:rPr>
                <w:szCs w:val="28"/>
              </w:rPr>
              <w:t>ст. 12 - сроки хранения рекламных материалов</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0</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1</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9</w:t>
            </w:r>
          </w:p>
        </w:tc>
        <w:tc>
          <w:tcPr>
            <w:tcW w:w="6237" w:type="dxa"/>
            <w:tcBorders>
              <w:top w:val="nil"/>
              <w:left w:val="nil"/>
              <w:bottom w:val="single" w:sz="4" w:space="0" w:color="C0C0C0"/>
              <w:right w:val="single" w:sz="4" w:space="0" w:color="C0C0C0"/>
            </w:tcBorders>
            <w:shd w:val="clear" w:color="auto" w:fill="auto"/>
            <w:vAlign w:val="center"/>
          </w:tcPr>
          <w:p w:rsidR="0010152D" w:rsidRPr="00E27618" w:rsidRDefault="0010152D" w:rsidP="0096397B">
            <w:pPr>
              <w:tabs>
                <w:tab w:val="left" w:pos="5245"/>
              </w:tabs>
              <w:rPr>
                <w:szCs w:val="28"/>
              </w:rPr>
            </w:pPr>
            <w:r w:rsidRPr="00E27618">
              <w:rPr>
                <w:szCs w:val="28"/>
              </w:rPr>
              <w:t>ст.15, ч.2 - превышение объема рекламы в радиопрограммах</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0</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1</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10</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ст.18 - реклама по сетям электросвязи</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b/>
                <w:szCs w:val="28"/>
              </w:rPr>
            </w:pPr>
            <w:r w:rsidRPr="00E27618">
              <w:rPr>
                <w:b/>
                <w:szCs w:val="28"/>
              </w:rPr>
              <w:t>10</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b/>
                <w:szCs w:val="28"/>
              </w:rPr>
            </w:pPr>
            <w:r w:rsidRPr="00E27618">
              <w:rPr>
                <w:b/>
                <w:szCs w:val="28"/>
              </w:rPr>
              <w:t>12</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11</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ст.21, ч.1 - реклама алкогольной продукции</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1</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0</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12</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ст.21, ч.2 - размещение рекламы алкогольной продукции</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3</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3</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13</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ст.21, ч.3 - предупреждение о вреде потребления алкогольной продукции</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2</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3</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14</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ст.24, ч.1 - реклама лекарственных средств</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1</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1</w:t>
            </w:r>
          </w:p>
        </w:tc>
      </w:tr>
      <w:tr w:rsidR="0010152D" w:rsidRPr="00E27618" w:rsidTr="00155A3F">
        <w:trPr>
          <w:trHeight w:val="450"/>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15</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ст.24, ч.7 - предупреждение в рекламе лек. средств, мед. изделий и мед. услуг</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1</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0</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16</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ст.25, ч.1 - реклама БАД</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3</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0</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17</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ст.25, ч.1.1 - предупреждение в рекламе БАД</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3</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0</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18</w:t>
            </w: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szCs w:val="28"/>
              </w:rPr>
            </w:pPr>
            <w:r w:rsidRPr="00E27618">
              <w:rPr>
                <w:szCs w:val="28"/>
              </w:rPr>
              <w:t>ст.27 - реклама рисковых игр, пари</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5B2017" w:rsidP="0096397B">
            <w:pPr>
              <w:tabs>
                <w:tab w:val="left" w:pos="5245"/>
              </w:tabs>
              <w:jc w:val="right"/>
              <w:rPr>
                <w:szCs w:val="28"/>
              </w:rPr>
            </w:pPr>
            <w:r>
              <w:rPr>
                <w:szCs w:val="28"/>
              </w:rPr>
              <w:t>1</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0</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19</w:t>
            </w:r>
          </w:p>
        </w:tc>
        <w:tc>
          <w:tcPr>
            <w:tcW w:w="6237" w:type="dxa"/>
            <w:tcBorders>
              <w:top w:val="nil"/>
              <w:left w:val="nil"/>
              <w:bottom w:val="single" w:sz="4" w:space="0" w:color="C0C0C0"/>
              <w:right w:val="single" w:sz="4" w:space="0" w:color="C0C0C0"/>
            </w:tcBorders>
            <w:shd w:val="clear" w:color="auto" w:fill="auto"/>
            <w:vAlign w:val="center"/>
          </w:tcPr>
          <w:p w:rsidR="0010152D" w:rsidRPr="00E27618" w:rsidRDefault="0010152D" w:rsidP="0096397B">
            <w:pPr>
              <w:tabs>
                <w:tab w:val="left" w:pos="5245"/>
              </w:tabs>
              <w:rPr>
                <w:szCs w:val="28"/>
              </w:rPr>
            </w:pPr>
            <w:r w:rsidRPr="00E27618">
              <w:rPr>
                <w:szCs w:val="28"/>
              </w:rPr>
              <w:t>ст.28, ч.1 - отсутствие наименования финансовой организации</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0</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3</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20</w:t>
            </w:r>
          </w:p>
        </w:tc>
        <w:tc>
          <w:tcPr>
            <w:tcW w:w="6237" w:type="dxa"/>
            <w:tcBorders>
              <w:top w:val="nil"/>
              <w:left w:val="nil"/>
              <w:bottom w:val="single" w:sz="4" w:space="0" w:color="C0C0C0"/>
              <w:right w:val="single" w:sz="4" w:space="0" w:color="C0C0C0"/>
            </w:tcBorders>
            <w:shd w:val="clear" w:color="auto" w:fill="auto"/>
            <w:vAlign w:val="center"/>
          </w:tcPr>
          <w:p w:rsidR="0010152D" w:rsidRPr="00E27618" w:rsidRDefault="0010152D" w:rsidP="0096397B">
            <w:pPr>
              <w:tabs>
                <w:tab w:val="left" w:pos="5245"/>
              </w:tabs>
              <w:rPr>
                <w:szCs w:val="28"/>
              </w:rPr>
            </w:pPr>
            <w:r w:rsidRPr="00E27618">
              <w:rPr>
                <w:szCs w:val="28"/>
              </w:rPr>
              <w:t>ст.28, ч.3 - о предоставлении кредита</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5B2017" w:rsidP="0096397B">
            <w:pPr>
              <w:tabs>
                <w:tab w:val="left" w:pos="5245"/>
              </w:tabs>
              <w:jc w:val="right"/>
              <w:rPr>
                <w:szCs w:val="28"/>
              </w:rPr>
            </w:pPr>
            <w:r>
              <w:rPr>
                <w:szCs w:val="28"/>
              </w:rPr>
              <w:t>0</w:t>
            </w:r>
            <w:bookmarkStart w:id="7" w:name="_GoBack"/>
            <w:bookmarkEnd w:id="7"/>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4</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21</w:t>
            </w:r>
          </w:p>
        </w:tc>
        <w:tc>
          <w:tcPr>
            <w:tcW w:w="6237" w:type="dxa"/>
            <w:tcBorders>
              <w:top w:val="nil"/>
              <w:left w:val="nil"/>
              <w:bottom w:val="single" w:sz="4" w:space="0" w:color="C0C0C0"/>
              <w:right w:val="single" w:sz="4" w:space="0" w:color="C0C0C0"/>
            </w:tcBorders>
            <w:shd w:val="clear" w:color="auto" w:fill="auto"/>
            <w:vAlign w:val="center"/>
          </w:tcPr>
          <w:p w:rsidR="0010152D" w:rsidRPr="00E27618" w:rsidRDefault="0010152D" w:rsidP="0096397B">
            <w:pPr>
              <w:tabs>
                <w:tab w:val="left" w:pos="5245"/>
              </w:tabs>
              <w:rPr>
                <w:szCs w:val="28"/>
              </w:rPr>
            </w:pPr>
            <w:r w:rsidRPr="00E27618">
              <w:rPr>
                <w:szCs w:val="28"/>
              </w:rPr>
              <w:t>ст.28, ч.7 - обязательная информация о привлечении денежных средств в строительство</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0</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2</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tcPr>
          <w:p w:rsidR="0010152D" w:rsidRPr="00E27618" w:rsidRDefault="0010152D" w:rsidP="0096397B">
            <w:pPr>
              <w:tabs>
                <w:tab w:val="left" w:pos="5245"/>
              </w:tabs>
              <w:jc w:val="center"/>
              <w:rPr>
                <w:szCs w:val="28"/>
              </w:rPr>
            </w:pPr>
            <w:r w:rsidRPr="00E27618">
              <w:rPr>
                <w:szCs w:val="28"/>
              </w:rPr>
              <w:t>22</w:t>
            </w:r>
          </w:p>
        </w:tc>
        <w:tc>
          <w:tcPr>
            <w:tcW w:w="6237" w:type="dxa"/>
            <w:tcBorders>
              <w:top w:val="nil"/>
              <w:left w:val="nil"/>
              <w:bottom w:val="single" w:sz="4" w:space="0" w:color="C0C0C0"/>
              <w:right w:val="single" w:sz="4" w:space="0" w:color="C0C0C0"/>
            </w:tcBorders>
            <w:shd w:val="clear" w:color="auto" w:fill="auto"/>
            <w:vAlign w:val="center"/>
          </w:tcPr>
          <w:p w:rsidR="0010152D" w:rsidRPr="00E27618" w:rsidRDefault="0010152D" w:rsidP="0096397B">
            <w:pPr>
              <w:tabs>
                <w:tab w:val="left" w:pos="5245"/>
              </w:tabs>
              <w:rPr>
                <w:szCs w:val="28"/>
              </w:rPr>
            </w:pPr>
            <w:r w:rsidRPr="00E27618">
              <w:rPr>
                <w:szCs w:val="28"/>
              </w:rPr>
              <w:t>ст.28, ч.14 - отсутствие разрешений на оказание финансовых услуг</w:t>
            </w:r>
          </w:p>
        </w:tc>
        <w:tc>
          <w:tcPr>
            <w:tcW w:w="1559"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0</w:t>
            </w:r>
          </w:p>
        </w:tc>
        <w:tc>
          <w:tcPr>
            <w:tcW w:w="1468" w:type="dxa"/>
            <w:tcBorders>
              <w:top w:val="nil"/>
              <w:left w:val="nil"/>
              <w:bottom w:val="single" w:sz="4" w:space="0" w:color="C0C0C0"/>
              <w:right w:val="single" w:sz="4" w:space="0" w:color="C0C0C0"/>
            </w:tcBorders>
            <w:shd w:val="clear" w:color="000000" w:fill="FFFFC0"/>
            <w:vAlign w:val="center"/>
          </w:tcPr>
          <w:p w:rsidR="0010152D" w:rsidRPr="00E27618" w:rsidRDefault="0010152D" w:rsidP="0096397B">
            <w:pPr>
              <w:tabs>
                <w:tab w:val="left" w:pos="5245"/>
              </w:tabs>
              <w:jc w:val="right"/>
              <w:rPr>
                <w:szCs w:val="28"/>
              </w:rPr>
            </w:pPr>
            <w:r w:rsidRPr="00E27618">
              <w:rPr>
                <w:szCs w:val="28"/>
              </w:rPr>
              <w:t>1</w:t>
            </w:r>
          </w:p>
        </w:tc>
      </w:tr>
      <w:tr w:rsidR="0010152D" w:rsidRPr="00E27618" w:rsidTr="00155A3F">
        <w:trPr>
          <w:trHeight w:val="375"/>
        </w:trPr>
        <w:tc>
          <w:tcPr>
            <w:tcW w:w="851" w:type="dxa"/>
            <w:tcBorders>
              <w:top w:val="nil"/>
              <w:left w:val="single" w:sz="4" w:space="0" w:color="C0C0C0"/>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jc w:val="center"/>
              <w:rPr>
                <w:szCs w:val="28"/>
              </w:rPr>
            </w:pPr>
          </w:p>
        </w:tc>
        <w:tc>
          <w:tcPr>
            <w:tcW w:w="6237" w:type="dxa"/>
            <w:tcBorders>
              <w:top w:val="nil"/>
              <w:left w:val="nil"/>
              <w:bottom w:val="single" w:sz="4" w:space="0" w:color="C0C0C0"/>
              <w:right w:val="single" w:sz="4" w:space="0" w:color="C0C0C0"/>
            </w:tcBorders>
            <w:shd w:val="clear" w:color="auto" w:fill="auto"/>
            <w:vAlign w:val="center"/>
            <w:hideMark/>
          </w:tcPr>
          <w:p w:rsidR="0010152D" w:rsidRPr="00E27618" w:rsidRDefault="0010152D" w:rsidP="0096397B">
            <w:pPr>
              <w:tabs>
                <w:tab w:val="left" w:pos="5245"/>
              </w:tabs>
              <w:rPr>
                <w:b/>
                <w:szCs w:val="28"/>
              </w:rPr>
            </w:pPr>
            <w:r w:rsidRPr="00E27618">
              <w:rPr>
                <w:b/>
                <w:szCs w:val="28"/>
              </w:rPr>
              <w:t>ВСЕГО:</w:t>
            </w:r>
          </w:p>
        </w:tc>
        <w:tc>
          <w:tcPr>
            <w:tcW w:w="1559" w:type="dxa"/>
            <w:tcBorders>
              <w:top w:val="nil"/>
              <w:left w:val="nil"/>
              <w:bottom w:val="single" w:sz="4" w:space="0" w:color="C0C0C0"/>
              <w:right w:val="single" w:sz="4" w:space="0" w:color="C0C0C0"/>
            </w:tcBorders>
            <w:shd w:val="clear" w:color="000000" w:fill="D7EAD3"/>
            <w:vAlign w:val="center"/>
          </w:tcPr>
          <w:p w:rsidR="0010152D" w:rsidRPr="00E27618" w:rsidRDefault="0010152D" w:rsidP="0096397B">
            <w:pPr>
              <w:tabs>
                <w:tab w:val="left" w:pos="5245"/>
              </w:tabs>
              <w:jc w:val="right"/>
              <w:rPr>
                <w:b/>
                <w:szCs w:val="28"/>
              </w:rPr>
            </w:pPr>
            <w:r w:rsidRPr="00E27618">
              <w:rPr>
                <w:b/>
                <w:szCs w:val="28"/>
              </w:rPr>
              <w:t>68</w:t>
            </w:r>
          </w:p>
        </w:tc>
        <w:tc>
          <w:tcPr>
            <w:tcW w:w="1468" w:type="dxa"/>
            <w:tcBorders>
              <w:top w:val="nil"/>
              <w:left w:val="nil"/>
              <w:bottom w:val="single" w:sz="4" w:space="0" w:color="C0C0C0"/>
              <w:right w:val="single" w:sz="4" w:space="0" w:color="C0C0C0"/>
            </w:tcBorders>
            <w:shd w:val="clear" w:color="000000" w:fill="D7EAD3"/>
            <w:vAlign w:val="center"/>
          </w:tcPr>
          <w:p w:rsidR="0010152D" w:rsidRPr="00E27618" w:rsidRDefault="0010152D" w:rsidP="0096397B">
            <w:pPr>
              <w:tabs>
                <w:tab w:val="left" w:pos="5245"/>
              </w:tabs>
              <w:jc w:val="right"/>
              <w:rPr>
                <w:b/>
                <w:szCs w:val="28"/>
              </w:rPr>
            </w:pPr>
            <w:r w:rsidRPr="00E27618">
              <w:rPr>
                <w:b/>
                <w:szCs w:val="28"/>
              </w:rPr>
              <w:t>68</w:t>
            </w:r>
          </w:p>
        </w:tc>
      </w:tr>
    </w:tbl>
    <w:p w:rsidR="0010152D" w:rsidRPr="00E27618" w:rsidRDefault="0010152D" w:rsidP="0010152D">
      <w:pPr>
        <w:tabs>
          <w:tab w:val="left" w:pos="5245"/>
        </w:tabs>
        <w:ind w:firstLine="709"/>
        <w:jc w:val="both"/>
        <w:rPr>
          <w:szCs w:val="28"/>
          <w:lang w:val="en-US"/>
        </w:rPr>
      </w:pPr>
    </w:p>
    <w:p w:rsidR="0010152D" w:rsidRPr="00E27618" w:rsidRDefault="0010152D" w:rsidP="0010152D">
      <w:pPr>
        <w:tabs>
          <w:tab w:val="left" w:pos="5245"/>
        </w:tabs>
        <w:ind w:firstLine="709"/>
        <w:jc w:val="both"/>
        <w:rPr>
          <w:szCs w:val="28"/>
        </w:rPr>
      </w:pPr>
      <w:r w:rsidRPr="00E27618">
        <w:rPr>
          <w:szCs w:val="28"/>
        </w:rPr>
        <w:t>То есть наиболее часто допускаемыми нарушениями Федерального закона «О рекламе» являются нарушения:</w:t>
      </w:r>
    </w:p>
    <w:p w:rsidR="0010152D" w:rsidRPr="00E27618" w:rsidRDefault="0010152D" w:rsidP="0010152D">
      <w:pPr>
        <w:tabs>
          <w:tab w:val="left" w:pos="5245"/>
        </w:tabs>
        <w:ind w:firstLine="709"/>
        <w:jc w:val="both"/>
        <w:rPr>
          <w:szCs w:val="28"/>
        </w:rPr>
      </w:pPr>
      <w:r w:rsidRPr="00E27618">
        <w:rPr>
          <w:szCs w:val="28"/>
        </w:rPr>
        <w:t xml:space="preserve">- </w:t>
      </w:r>
      <w:r w:rsidRPr="00E27618">
        <w:rPr>
          <w:b/>
          <w:szCs w:val="28"/>
        </w:rPr>
        <w:t>ч. 3 ст. 5</w:t>
      </w:r>
      <w:r w:rsidRPr="00E27618">
        <w:rPr>
          <w:szCs w:val="28"/>
        </w:rPr>
        <w:t xml:space="preserve">, согласно которой </w:t>
      </w:r>
      <w:hyperlink r:id="rId30" w:anchor="dst100097" w:history="1">
        <w:r w:rsidRPr="00E27618">
          <w:rPr>
            <w:rStyle w:val="a7"/>
            <w:szCs w:val="28"/>
          </w:rPr>
          <w:t>недостоверной</w:t>
        </w:r>
      </w:hyperlink>
      <w:r w:rsidRPr="00E27618">
        <w:rPr>
          <w:rStyle w:val="blk"/>
          <w:szCs w:val="28"/>
        </w:rPr>
        <w:t xml:space="preserve"> признается реклама, которая содержит не соответствующие действительности сведения;</w:t>
      </w:r>
    </w:p>
    <w:p w:rsidR="0010152D" w:rsidRPr="00E27618" w:rsidRDefault="0010152D" w:rsidP="0010152D">
      <w:pPr>
        <w:tabs>
          <w:tab w:val="left" w:pos="5245"/>
        </w:tabs>
        <w:ind w:firstLine="709"/>
        <w:jc w:val="both"/>
        <w:rPr>
          <w:szCs w:val="28"/>
        </w:rPr>
      </w:pPr>
      <w:r w:rsidRPr="00E27618">
        <w:rPr>
          <w:szCs w:val="28"/>
        </w:rPr>
        <w:t xml:space="preserve">- </w:t>
      </w:r>
      <w:r w:rsidRPr="00E27618">
        <w:rPr>
          <w:b/>
          <w:szCs w:val="28"/>
        </w:rPr>
        <w:t>ч. 11 ст. 5</w:t>
      </w:r>
      <w:r w:rsidRPr="00E27618">
        <w:rPr>
          <w:szCs w:val="28"/>
        </w:rPr>
        <w:t xml:space="preserve">, согласно которой </w:t>
      </w:r>
      <w:r w:rsidRPr="00E27618">
        <w:rPr>
          <w:rStyle w:val="blk"/>
          <w:szCs w:val="28"/>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10152D" w:rsidRPr="00E27618" w:rsidRDefault="0010152D" w:rsidP="0010152D">
      <w:pPr>
        <w:tabs>
          <w:tab w:val="left" w:pos="5245"/>
        </w:tabs>
        <w:ind w:firstLine="709"/>
        <w:jc w:val="both"/>
        <w:rPr>
          <w:szCs w:val="28"/>
        </w:rPr>
      </w:pPr>
      <w:r w:rsidRPr="00E27618">
        <w:rPr>
          <w:szCs w:val="28"/>
        </w:rPr>
        <w:t xml:space="preserve">- </w:t>
      </w:r>
      <w:r w:rsidRPr="00E27618">
        <w:rPr>
          <w:b/>
          <w:szCs w:val="28"/>
        </w:rPr>
        <w:t>ст. 18</w:t>
      </w:r>
      <w:r w:rsidRPr="00E27618">
        <w:rPr>
          <w:szCs w:val="28"/>
        </w:rPr>
        <w:t xml:space="preserve">, согласно которой </w:t>
      </w:r>
      <w:r w:rsidRPr="00E27618">
        <w:rPr>
          <w:rStyle w:val="blk"/>
          <w:szCs w:val="28"/>
        </w:rPr>
        <w:t>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10152D" w:rsidRPr="00E27618" w:rsidRDefault="0010152D" w:rsidP="0010152D">
      <w:pPr>
        <w:tabs>
          <w:tab w:val="left" w:pos="5245"/>
        </w:tabs>
        <w:spacing w:before="120"/>
        <w:ind w:firstLine="709"/>
        <w:jc w:val="both"/>
        <w:rPr>
          <w:szCs w:val="28"/>
        </w:rPr>
      </w:pPr>
      <w:r w:rsidRPr="00E27618">
        <w:rPr>
          <w:szCs w:val="28"/>
        </w:rPr>
        <w:t>К примеру, Ульяновским УФАС России в 2019 году рассмотрены следующие дела:</w:t>
      </w:r>
    </w:p>
    <w:p w:rsidR="0010152D" w:rsidRPr="00E27618" w:rsidRDefault="0010152D" w:rsidP="0010152D">
      <w:pPr>
        <w:tabs>
          <w:tab w:val="left" w:pos="5245"/>
        </w:tabs>
        <w:spacing w:before="240"/>
        <w:ind w:firstLine="709"/>
        <w:rPr>
          <w:b/>
          <w:szCs w:val="28"/>
          <w:u w:val="single"/>
        </w:rPr>
      </w:pPr>
      <w:r w:rsidRPr="00E27618">
        <w:rPr>
          <w:b/>
          <w:szCs w:val="28"/>
          <w:u w:val="single"/>
        </w:rPr>
        <w:t>Дело № 073/05/28-15934/2019:</w:t>
      </w:r>
    </w:p>
    <w:p w:rsidR="0010152D" w:rsidRPr="00E27618" w:rsidRDefault="0010152D" w:rsidP="0010152D">
      <w:pPr>
        <w:tabs>
          <w:tab w:val="left" w:pos="5245"/>
        </w:tabs>
        <w:spacing w:before="120"/>
        <w:ind w:firstLine="709"/>
        <w:jc w:val="both"/>
        <w:rPr>
          <w:szCs w:val="28"/>
        </w:rPr>
      </w:pPr>
      <w:r w:rsidRPr="00E27618">
        <w:rPr>
          <w:szCs w:val="28"/>
          <w:lang w:bidi="ru-RU"/>
        </w:rPr>
        <w:t>В Ульяновское УФАС России поступило обращение Волго-Вятского главного управления Центрального банка Российской Федерации о нарушении законодательства Российской Федерации о рекламе (исх. № Т4-38-6/24794ДСП от 12.08.2019, вх. № 199/ДСП от 19.08.2019).  В частности, в обращении указано, что в рекламно-информационной газете «Мозаика» № 78 (3065) за 05.07.2019 размещена реклама ПК «Доверие», содержащая признаки нарушения рекламного законодательства.</w:t>
      </w:r>
    </w:p>
    <w:p w:rsidR="0010152D" w:rsidRPr="00E27618" w:rsidRDefault="0010152D" w:rsidP="0010152D">
      <w:pPr>
        <w:tabs>
          <w:tab w:val="left" w:pos="5245"/>
        </w:tabs>
        <w:ind w:firstLine="709"/>
        <w:jc w:val="both"/>
        <w:rPr>
          <w:i/>
          <w:szCs w:val="28"/>
          <w:lang w:bidi="ru-RU"/>
        </w:rPr>
      </w:pPr>
      <w:r w:rsidRPr="00E27618">
        <w:rPr>
          <w:szCs w:val="28"/>
          <w:lang w:bidi="ru-RU"/>
        </w:rPr>
        <w:t>Реклама ПК «Взаимное Доверие», размещенная в газете «Мозаика» № 76 (3063) за 03.07.2019, № 78 (3065) за 05.07.2019, № 80 (3067) за 11.07.2019 и № 81 (3068) за 12.07.2019, имеет следующее содержание.  В левой части рекламы вверху размещена надпись: «</w:t>
      </w:r>
      <w:r w:rsidRPr="00E27618">
        <w:rPr>
          <w:i/>
          <w:szCs w:val="28"/>
          <w:lang w:bidi="ru-RU"/>
        </w:rPr>
        <w:t>ПК ДОВЕРИЕ</w:t>
      </w:r>
      <w:r w:rsidRPr="00E27618">
        <w:rPr>
          <w:szCs w:val="28"/>
          <w:lang w:bidi="ru-RU"/>
        </w:rPr>
        <w:t>», ниже - фотографическое изображение пары пожилых людей (мужчины и женщины) с отметкой: «</w:t>
      </w:r>
      <w:r w:rsidRPr="00E27618">
        <w:rPr>
          <w:i/>
          <w:szCs w:val="28"/>
          <w:lang w:bidi="ru-RU"/>
        </w:rPr>
        <w:t>Действует страхование*</w:t>
      </w:r>
      <w:r w:rsidRPr="00E27618">
        <w:rPr>
          <w:szCs w:val="28"/>
          <w:lang w:bidi="ru-RU"/>
        </w:rPr>
        <w:t>», ниже выполнена надпись: «</w:t>
      </w:r>
      <w:r w:rsidRPr="00E27618">
        <w:rPr>
          <w:i/>
          <w:szCs w:val="28"/>
          <w:lang w:bidi="ru-RU"/>
        </w:rPr>
        <w:t xml:space="preserve">Целевая программа «Рента на </w:t>
      </w:r>
      <w:r>
        <w:rPr>
          <w:i/>
          <w:szCs w:val="28"/>
          <w:lang w:bidi="ru-RU"/>
        </w:rPr>
        <w:t xml:space="preserve">паях» </w:t>
      </w:r>
      <w:r w:rsidRPr="00E27618">
        <w:rPr>
          <w:i/>
          <w:szCs w:val="28"/>
          <w:lang w:bidi="ru-RU"/>
        </w:rPr>
        <w:t>ВАША ВЫГОДА до 18,0% годовых</w:t>
      </w:r>
      <w:r w:rsidRPr="00E27618">
        <w:rPr>
          <w:szCs w:val="28"/>
          <w:lang w:bidi="ru-RU"/>
        </w:rPr>
        <w:t>».  В правой части рекламы вверху в прямоугольнике красного цвета выполнена надпись шрифтом белого цвета: «</w:t>
      </w:r>
      <w:r w:rsidRPr="00E27618">
        <w:rPr>
          <w:i/>
          <w:szCs w:val="28"/>
          <w:lang w:bidi="ru-RU"/>
        </w:rPr>
        <w:t>Выгодное и надежное размещение накоплений!</w:t>
      </w:r>
      <w:r w:rsidRPr="00E27618">
        <w:rPr>
          <w:szCs w:val="28"/>
          <w:lang w:bidi="ru-RU"/>
        </w:rPr>
        <w:t>», ниже на белом фоне черным шрифтом: «</w:t>
      </w:r>
      <w:r w:rsidRPr="00E27618">
        <w:rPr>
          <w:b/>
          <w:i/>
          <w:szCs w:val="28"/>
          <w:lang w:bidi="ru-RU"/>
        </w:rPr>
        <w:t>Грамотное внесение личных накоплений, страхование - такие условия предлагает ПК «Доверие» для своих пайщиков</w:t>
      </w:r>
      <w:r w:rsidRPr="00E27618">
        <w:rPr>
          <w:i/>
          <w:szCs w:val="28"/>
          <w:lang w:bidi="ru-RU"/>
        </w:rPr>
        <w:t xml:space="preserve">.  ПК «Доверие» приглашает вас стать членами </w:t>
      </w:r>
      <w:r w:rsidRPr="00E27618">
        <w:rPr>
          <w:i/>
          <w:szCs w:val="28"/>
          <w:lang w:bidi="ru-RU"/>
        </w:rPr>
        <w:lastRenderedPageBreak/>
        <w:t>кооператива.  Благодаря потребительским программам, разработанным с учетом пожеланий членов кооператива, пайщики могут получать доход до 18% годовых по накоплениям</w:t>
      </w:r>
      <w:r w:rsidRPr="00E27618">
        <w:rPr>
          <w:szCs w:val="28"/>
          <w:lang w:bidi="ru-RU"/>
        </w:rPr>
        <w:t>».  Ниже в табличной форме, выполненной в зеленых тонах, представлены условия и контактные данные: «</w:t>
      </w:r>
      <w:r w:rsidRPr="00E27618">
        <w:rPr>
          <w:i/>
          <w:szCs w:val="28"/>
          <w:lang w:bidi="ru-RU"/>
        </w:rPr>
        <w:t>Целевая потребительская программа в ПК «Доверие»:</w:t>
      </w:r>
    </w:p>
    <w:p w:rsidR="0010152D" w:rsidRPr="00E27618" w:rsidRDefault="0010152D" w:rsidP="0010152D">
      <w:pPr>
        <w:tabs>
          <w:tab w:val="left" w:pos="5245"/>
        </w:tabs>
        <w:ind w:firstLine="709"/>
        <w:jc w:val="both"/>
        <w:rPr>
          <w:i/>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297"/>
        <w:gridCol w:w="5284"/>
      </w:tblGrid>
      <w:tr w:rsidR="0010152D" w:rsidRPr="00E27618" w:rsidTr="0096397B">
        <w:tc>
          <w:tcPr>
            <w:tcW w:w="2093" w:type="dxa"/>
            <w:tcBorders>
              <w:top w:val="single" w:sz="4" w:space="0" w:color="auto"/>
              <w:left w:val="single" w:sz="4" w:space="0" w:color="auto"/>
              <w:bottom w:val="single" w:sz="4" w:space="0" w:color="auto"/>
              <w:right w:val="single" w:sz="4" w:space="0" w:color="auto"/>
            </w:tcBorders>
            <w:hideMark/>
          </w:tcPr>
          <w:p w:rsidR="0010152D" w:rsidRPr="00E27618" w:rsidRDefault="0010152D" w:rsidP="0096397B">
            <w:pPr>
              <w:tabs>
                <w:tab w:val="left" w:pos="5245"/>
              </w:tabs>
              <w:jc w:val="center"/>
              <w:rPr>
                <w:i/>
                <w:szCs w:val="28"/>
                <w:lang w:bidi="ru-RU"/>
              </w:rPr>
            </w:pPr>
            <w:r w:rsidRPr="00E27618">
              <w:rPr>
                <w:i/>
                <w:szCs w:val="28"/>
                <w:lang w:bidi="ru-RU"/>
              </w:rPr>
              <w:t>Срок, мес.</w:t>
            </w:r>
          </w:p>
        </w:tc>
        <w:tc>
          <w:tcPr>
            <w:tcW w:w="2410" w:type="dxa"/>
            <w:tcBorders>
              <w:top w:val="single" w:sz="4" w:space="0" w:color="auto"/>
              <w:left w:val="single" w:sz="4" w:space="0" w:color="auto"/>
              <w:bottom w:val="single" w:sz="4" w:space="0" w:color="auto"/>
              <w:right w:val="single" w:sz="4" w:space="0" w:color="auto"/>
            </w:tcBorders>
            <w:hideMark/>
          </w:tcPr>
          <w:p w:rsidR="0010152D" w:rsidRPr="00E27618" w:rsidRDefault="0010152D" w:rsidP="0096397B">
            <w:pPr>
              <w:tabs>
                <w:tab w:val="left" w:pos="5245"/>
              </w:tabs>
              <w:jc w:val="center"/>
              <w:rPr>
                <w:i/>
                <w:szCs w:val="28"/>
                <w:lang w:bidi="ru-RU"/>
              </w:rPr>
            </w:pPr>
            <w:r w:rsidRPr="00E27618">
              <w:rPr>
                <w:i/>
                <w:szCs w:val="28"/>
                <w:lang w:bidi="ru-RU"/>
              </w:rPr>
              <w:t>Сумма, руб.</w:t>
            </w:r>
          </w:p>
        </w:tc>
        <w:tc>
          <w:tcPr>
            <w:tcW w:w="5578" w:type="dxa"/>
            <w:tcBorders>
              <w:top w:val="single" w:sz="4" w:space="0" w:color="auto"/>
              <w:left w:val="single" w:sz="4" w:space="0" w:color="auto"/>
              <w:bottom w:val="single" w:sz="4" w:space="0" w:color="auto"/>
              <w:right w:val="single" w:sz="4" w:space="0" w:color="auto"/>
            </w:tcBorders>
            <w:hideMark/>
          </w:tcPr>
          <w:p w:rsidR="0010152D" w:rsidRPr="00E27618" w:rsidRDefault="0010152D" w:rsidP="0096397B">
            <w:pPr>
              <w:tabs>
                <w:tab w:val="left" w:pos="5245"/>
              </w:tabs>
              <w:jc w:val="center"/>
              <w:rPr>
                <w:i/>
                <w:szCs w:val="28"/>
                <w:lang w:bidi="ru-RU"/>
              </w:rPr>
            </w:pPr>
            <w:r w:rsidRPr="00E27618">
              <w:rPr>
                <w:i/>
                <w:szCs w:val="28"/>
                <w:lang w:bidi="ru-RU"/>
              </w:rPr>
              <w:t>Ставка, % годовых (Удерживается НДФЛ)</w:t>
            </w:r>
          </w:p>
        </w:tc>
      </w:tr>
      <w:tr w:rsidR="0010152D" w:rsidRPr="00E27618" w:rsidTr="0096397B">
        <w:trPr>
          <w:trHeight w:val="289"/>
        </w:trPr>
        <w:tc>
          <w:tcPr>
            <w:tcW w:w="2093" w:type="dxa"/>
            <w:tcBorders>
              <w:top w:val="single" w:sz="4" w:space="0" w:color="auto"/>
              <w:left w:val="single" w:sz="4" w:space="0" w:color="auto"/>
              <w:bottom w:val="single" w:sz="4" w:space="0" w:color="auto"/>
              <w:right w:val="single" w:sz="4" w:space="0" w:color="auto"/>
            </w:tcBorders>
            <w:hideMark/>
          </w:tcPr>
          <w:p w:rsidR="0010152D" w:rsidRPr="00E27618" w:rsidRDefault="0010152D" w:rsidP="0096397B">
            <w:pPr>
              <w:tabs>
                <w:tab w:val="left" w:pos="5245"/>
              </w:tabs>
              <w:jc w:val="center"/>
              <w:rPr>
                <w:i/>
                <w:szCs w:val="28"/>
                <w:lang w:bidi="ru-RU"/>
              </w:rPr>
            </w:pPr>
            <w:r w:rsidRPr="00E27618">
              <w:rPr>
                <w:i/>
                <w:szCs w:val="28"/>
                <w:lang w:bidi="ru-RU"/>
              </w:rPr>
              <w:t>3</w:t>
            </w:r>
          </w:p>
        </w:tc>
        <w:tc>
          <w:tcPr>
            <w:tcW w:w="2410" w:type="dxa"/>
            <w:tcBorders>
              <w:top w:val="single" w:sz="4" w:space="0" w:color="auto"/>
              <w:left w:val="single" w:sz="4" w:space="0" w:color="auto"/>
              <w:bottom w:val="single" w:sz="4" w:space="0" w:color="auto"/>
              <w:right w:val="single" w:sz="4" w:space="0" w:color="auto"/>
            </w:tcBorders>
            <w:hideMark/>
          </w:tcPr>
          <w:p w:rsidR="0010152D" w:rsidRPr="00E27618" w:rsidRDefault="0010152D" w:rsidP="0096397B">
            <w:pPr>
              <w:tabs>
                <w:tab w:val="left" w:pos="5245"/>
              </w:tabs>
              <w:jc w:val="center"/>
              <w:rPr>
                <w:i/>
                <w:szCs w:val="28"/>
                <w:lang w:bidi="ru-RU"/>
              </w:rPr>
            </w:pPr>
            <w:r w:rsidRPr="00E27618">
              <w:rPr>
                <w:i/>
                <w:szCs w:val="28"/>
                <w:lang w:bidi="ru-RU"/>
              </w:rPr>
              <w:t>от 1000</w:t>
            </w:r>
          </w:p>
        </w:tc>
        <w:tc>
          <w:tcPr>
            <w:tcW w:w="5578" w:type="dxa"/>
            <w:tcBorders>
              <w:top w:val="single" w:sz="4" w:space="0" w:color="auto"/>
              <w:left w:val="single" w:sz="4" w:space="0" w:color="auto"/>
              <w:bottom w:val="single" w:sz="4" w:space="0" w:color="auto"/>
              <w:right w:val="single" w:sz="4" w:space="0" w:color="auto"/>
            </w:tcBorders>
            <w:hideMark/>
          </w:tcPr>
          <w:p w:rsidR="0010152D" w:rsidRPr="00E27618" w:rsidRDefault="0010152D" w:rsidP="0096397B">
            <w:pPr>
              <w:tabs>
                <w:tab w:val="left" w:pos="5245"/>
              </w:tabs>
              <w:jc w:val="center"/>
              <w:rPr>
                <w:i/>
                <w:szCs w:val="28"/>
                <w:lang w:bidi="ru-RU"/>
              </w:rPr>
            </w:pPr>
            <w:r w:rsidRPr="00E27618">
              <w:rPr>
                <w:i/>
                <w:szCs w:val="28"/>
                <w:lang w:bidi="ru-RU"/>
              </w:rPr>
              <w:t>не менее 9%</w:t>
            </w:r>
          </w:p>
        </w:tc>
      </w:tr>
      <w:tr w:rsidR="0010152D" w:rsidRPr="00E27618" w:rsidTr="0096397B">
        <w:tc>
          <w:tcPr>
            <w:tcW w:w="2093" w:type="dxa"/>
            <w:tcBorders>
              <w:top w:val="single" w:sz="4" w:space="0" w:color="auto"/>
              <w:left w:val="single" w:sz="4" w:space="0" w:color="auto"/>
              <w:bottom w:val="single" w:sz="4" w:space="0" w:color="auto"/>
              <w:right w:val="single" w:sz="4" w:space="0" w:color="auto"/>
            </w:tcBorders>
            <w:hideMark/>
          </w:tcPr>
          <w:p w:rsidR="0010152D" w:rsidRPr="00E27618" w:rsidRDefault="0010152D" w:rsidP="0096397B">
            <w:pPr>
              <w:tabs>
                <w:tab w:val="left" w:pos="5245"/>
              </w:tabs>
              <w:jc w:val="center"/>
              <w:rPr>
                <w:i/>
                <w:szCs w:val="28"/>
                <w:lang w:bidi="ru-RU"/>
              </w:rPr>
            </w:pPr>
            <w:r w:rsidRPr="00E27618">
              <w:rPr>
                <w:i/>
                <w:szCs w:val="28"/>
                <w:lang w:bidi="ru-RU"/>
              </w:rPr>
              <w:t>6</w:t>
            </w:r>
          </w:p>
        </w:tc>
        <w:tc>
          <w:tcPr>
            <w:tcW w:w="2410" w:type="dxa"/>
            <w:tcBorders>
              <w:top w:val="single" w:sz="4" w:space="0" w:color="auto"/>
              <w:left w:val="single" w:sz="4" w:space="0" w:color="auto"/>
              <w:bottom w:val="single" w:sz="4" w:space="0" w:color="auto"/>
              <w:right w:val="single" w:sz="4" w:space="0" w:color="auto"/>
            </w:tcBorders>
            <w:hideMark/>
          </w:tcPr>
          <w:p w:rsidR="0010152D" w:rsidRPr="00E27618" w:rsidRDefault="0010152D" w:rsidP="0096397B">
            <w:pPr>
              <w:tabs>
                <w:tab w:val="left" w:pos="5245"/>
              </w:tabs>
              <w:jc w:val="center"/>
              <w:rPr>
                <w:i/>
                <w:szCs w:val="28"/>
                <w:lang w:bidi="ru-RU"/>
              </w:rPr>
            </w:pPr>
            <w:r w:rsidRPr="00E27618">
              <w:rPr>
                <w:i/>
                <w:szCs w:val="28"/>
                <w:lang w:bidi="ru-RU"/>
              </w:rPr>
              <w:t>от 1000</w:t>
            </w:r>
          </w:p>
        </w:tc>
        <w:tc>
          <w:tcPr>
            <w:tcW w:w="5578" w:type="dxa"/>
            <w:tcBorders>
              <w:top w:val="single" w:sz="4" w:space="0" w:color="auto"/>
              <w:left w:val="single" w:sz="4" w:space="0" w:color="auto"/>
              <w:bottom w:val="single" w:sz="4" w:space="0" w:color="auto"/>
              <w:right w:val="single" w:sz="4" w:space="0" w:color="auto"/>
            </w:tcBorders>
            <w:hideMark/>
          </w:tcPr>
          <w:p w:rsidR="0010152D" w:rsidRPr="00E27618" w:rsidRDefault="0010152D" w:rsidP="0096397B">
            <w:pPr>
              <w:tabs>
                <w:tab w:val="left" w:pos="5245"/>
              </w:tabs>
              <w:jc w:val="center"/>
              <w:rPr>
                <w:i/>
                <w:szCs w:val="28"/>
                <w:lang w:bidi="ru-RU"/>
              </w:rPr>
            </w:pPr>
            <w:r w:rsidRPr="00E27618">
              <w:rPr>
                <w:i/>
                <w:szCs w:val="28"/>
                <w:lang w:bidi="ru-RU"/>
              </w:rPr>
              <w:t>не менее 16%</w:t>
            </w:r>
          </w:p>
        </w:tc>
      </w:tr>
      <w:tr w:rsidR="0010152D" w:rsidRPr="00E27618" w:rsidTr="0096397B">
        <w:tc>
          <w:tcPr>
            <w:tcW w:w="2093" w:type="dxa"/>
            <w:tcBorders>
              <w:top w:val="single" w:sz="4" w:space="0" w:color="auto"/>
              <w:left w:val="single" w:sz="4" w:space="0" w:color="auto"/>
              <w:bottom w:val="single" w:sz="4" w:space="0" w:color="auto"/>
              <w:right w:val="single" w:sz="4" w:space="0" w:color="auto"/>
            </w:tcBorders>
            <w:hideMark/>
          </w:tcPr>
          <w:p w:rsidR="0010152D" w:rsidRPr="00E27618" w:rsidRDefault="0010152D" w:rsidP="0096397B">
            <w:pPr>
              <w:tabs>
                <w:tab w:val="left" w:pos="5245"/>
              </w:tabs>
              <w:jc w:val="center"/>
              <w:rPr>
                <w:i/>
                <w:szCs w:val="28"/>
                <w:lang w:bidi="ru-RU"/>
              </w:rPr>
            </w:pPr>
            <w:r w:rsidRPr="00E27618">
              <w:rPr>
                <w:i/>
                <w:szCs w:val="28"/>
                <w:lang w:bidi="ru-RU"/>
              </w:rPr>
              <w:t>12</w:t>
            </w:r>
          </w:p>
        </w:tc>
        <w:tc>
          <w:tcPr>
            <w:tcW w:w="2410" w:type="dxa"/>
            <w:tcBorders>
              <w:top w:val="single" w:sz="4" w:space="0" w:color="auto"/>
              <w:left w:val="single" w:sz="4" w:space="0" w:color="auto"/>
              <w:bottom w:val="single" w:sz="4" w:space="0" w:color="auto"/>
              <w:right w:val="single" w:sz="4" w:space="0" w:color="auto"/>
            </w:tcBorders>
            <w:hideMark/>
          </w:tcPr>
          <w:p w:rsidR="0010152D" w:rsidRPr="00E27618" w:rsidRDefault="0010152D" w:rsidP="0096397B">
            <w:pPr>
              <w:tabs>
                <w:tab w:val="left" w:pos="5245"/>
              </w:tabs>
              <w:jc w:val="center"/>
              <w:rPr>
                <w:i/>
                <w:szCs w:val="28"/>
                <w:lang w:bidi="ru-RU"/>
              </w:rPr>
            </w:pPr>
            <w:r w:rsidRPr="00E27618">
              <w:rPr>
                <w:i/>
                <w:szCs w:val="28"/>
                <w:lang w:bidi="ru-RU"/>
              </w:rPr>
              <w:t>от 1000</w:t>
            </w:r>
          </w:p>
        </w:tc>
        <w:tc>
          <w:tcPr>
            <w:tcW w:w="5578" w:type="dxa"/>
            <w:tcBorders>
              <w:top w:val="single" w:sz="4" w:space="0" w:color="auto"/>
              <w:left w:val="single" w:sz="4" w:space="0" w:color="auto"/>
              <w:bottom w:val="single" w:sz="4" w:space="0" w:color="auto"/>
              <w:right w:val="single" w:sz="4" w:space="0" w:color="auto"/>
            </w:tcBorders>
            <w:hideMark/>
          </w:tcPr>
          <w:p w:rsidR="0010152D" w:rsidRPr="00E27618" w:rsidRDefault="0010152D" w:rsidP="0096397B">
            <w:pPr>
              <w:tabs>
                <w:tab w:val="left" w:pos="5245"/>
              </w:tabs>
              <w:jc w:val="center"/>
              <w:rPr>
                <w:i/>
                <w:szCs w:val="28"/>
                <w:lang w:bidi="ru-RU"/>
              </w:rPr>
            </w:pPr>
            <w:r w:rsidRPr="00E27618">
              <w:rPr>
                <w:i/>
                <w:szCs w:val="28"/>
                <w:lang w:bidi="ru-RU"/>
              </w:rPr>
              <w:t>18</w:t>
            </w:r>
          </w:p>
        </w:tc>
      </w:tr>
    </w:tbl>
    <w:p w:rsidR="0010152D" w:rsidRDefault="0010152D" w:rsidP="0010152D">
      <w:pPr>
        <w:tabs>
          <w:tab w:val="left" w:pos="5245"/>
        </w:tabs>
        <w:ind w:firstLine="709"/>
        <w:jc w:val="both"/>
        <w:rPr>
          <w:i/>
          <w:szCs w:val="28"/>
          <w:lang w:bidi="ru-RU"/>
        </w:rPr>
      </w:pPr>
    </w:p>
    <w:p w:rsidR="0010152D" w:rsidRPr="00E27618" w:rsidRDefault="0010152D" w:rsidP="0010152D">
      <w:pPr>
        <w:tabs>
          <w:tab w:val="left" w:pos="5245"/>
        </w:tabs>
        <w:ind w:firstLine="709"/>
        <w:jc w:val="both"/>
        <w:rPr>
          <w:i/>
          <w:szCs w:val="28"/>
          <w:lang w:bidi="ru-RU"/>
        </w:rPr>
      </w:pPr>
      <w:r w:rsidRPr="00E27618">
        <w:rPr>
          <w:i/>
          <w:szCs w:val="28"/>
          <w:lang w:bidi="ru-RU"/>
        </w:rPr>
        <w:t>Наш телефон: (8422) 31-51-90 Наш адрес: офисный центр «Мираж», оф. 105, г. Ульяновск, ул. Карла Маркса, д. 13А, корп. 2</w:t>
      </w:r>
      <w:r w:rsidRPr="00E27618">
        <w:rPr>
          <w:szCs w:val="28"/>
          <w:lang w:bidi="ru-RU"/>
        </w:rPr>
        <w:t>».  По нижнему краю рекламного модуля размещена информация: «</w:t>
      </w:r>
      <w:r w:rsidRPr="00E27618">
        <w:rPr>
          <w:i/>
          <w:szCs w:val="28"/>
          <w:lang w:bidi="ru-RU"/>
        </w:rPr>
        <w:t>Потребительский кооператив по реализации целевых программ для пайщиков «Доверие», ИНН 1838022300, ОГРН 1181832026199.  Целевая потребительская программа «Рента на паях».  Минимальная сумма паевого целевого взноса - 1000 руб.  Пайщики - участники программы уплачивают ежегодный членский целевой взнос в размере 0,4% от суммы паевых целевых взносов (или стоимости имущества, внесенного в качестве паевого целевого взноса).  Потребительская выгода выплачивается по заявлению пайщика в течение срока действия договора или в конце срока договора.  Существует возможность пополнения паевого целевого взноса.  При досрочном расторжении договора потребительская выгода составит 0,35% годовых от суммы паевого целевого взноса (или стоимости имущества, внесенного в качестве паевого целевого взноса).  Возможно частичное снятие паевого целевого взноса в течение срока действия договора, но не более 1 раза за весь период действия договора и не более 30% от суммы внесенного паевого целевого взноса.  Участие в программе доступно пайщикам кооператива, оплатившим разово вступительный взнос 50 руб., обязательный паевой взнос 50 руб.  Условия действительны на момент выхода рекламы</w:t>
      </w:r>
      <w:r w:rsidRPr="00E27618">
        <w:rPr>
          <w:szCs w:val="28"/>
          <w:lang w:bidi="ru-RU"/>
        </w:rPr>
        <w:t>», под знаком «сноска»: «</w:t>
      </w:r>
      <w:r w:rsidRPr="00E27618">
        <w:rPr>
          <w:i/>
          <w:szCs w:val="28"/>
          <w:lang w:bidi="ru-RU"/>
        </w:rPr>
        <w:t>*НКО «МОВС», ИНН 7839045118.  Лицензия Банка России ВС № 4349 от 28.02.2019 года.  С договором можно ознакомиться в офисе кооператива</w:t>
      </w:r>
      <w:r w:rsidRPr="00E27618">
        <w:rPr>
          <w:szCs w:val="28"/>
          <w:lang w:bidi="ru-RU"/>
        </w:rPr>
        <w:t>».</w:t>
      </w:r>
    </w:p>
    <w:p w:rsidR="0010152D" w:rsidRPr="00E27618" w:rsidRDefault="0010152D" w:rsidP="0010152D">
      <w:pPr>
        <w:tabs>
          <w:tab w:val="left" w:pos="5245"/>
        </w:tabs>
        <w:ind w:firstLine="709"/>
        <w:jc w:val="both"/>
        <w:rPr>
          <w:i/>
          <w:szCs w:val="28"/>
          <w:lang w:bidi="ru-RU"/>
        </w:rPr>
      </w:pPr>
      <w:r w:rsidRPr="00E27618">
        <w:rPr>
          <w:szCs w:val="28"/>
          <w:lang w:bidi="ru-RU"/>
        </w:rPr>
        <w:t>Реклама ПК «Взаимное Доверие», размещенная в газете «Мозаика» № 82 (3069) за 17.07.2019, № 84 (3071) за 19.07.2019, № 86 (3073) за 25.07.2019, № 87 (3074) за 26.07.2019, № 88 (3075) за 31.07.2019, № 89 (3076) за 01.08.2019, № 91 (3078) за 07.08.2019, № 93 (3080) за 09.08.2019, № 96 (3083) за 16.08.2019 и № 99 (3086) за 23.08.2019, имеет следующее содержание.  В левой части рекламы размещено фотографическое изображение пары пожилых людей (мужчины и женщины) с отметкой: «</w:t>
      </w:r>
      <w:r w:rsidRPr="00E27618">
        <w:rPr>
          <w:i/>
          <w:szCs w:val="28"/>
          <w:lang w:bidi="ru-RU"/>
        </w:rPr>
        <w:t>Действует страхование*</w:t>
      </w:r>
      <w:r w:rsidRPr="00E27618">
        <w:rPr>
          <w:szCs w:val="28"/>
          <w:lang w:bidi="ru-RU"/>
        </w:rPr>
        <w:t>».  В правой части вверху размещена надпись: «</w:t>
      </w:r>
      <w:r w:rsidRPr="00E27618">
        <w:rPr>
          <w:i/>
          <w:szCs w:val="28"/>
          <w:lang w:bidi="ru-RU"/>
        </w:rPr>
        <w:t>ПК ДОВЕРИЕ</w:t>
      </w:r>
      <w:r w:rsidRPr="00E27618">
        <w:rPr>
          <w:szCs w:val="28"/>
          <w:lang w:bidi="ru-RU"/>
        </w:rPr>
        <w:t>», ниже - надпись: «</w:t>
      </w:r>
      <w:r w:rsidRPr="00E27618">
        <w:rPr>
          <w:i/>
          <w:szCs w:val="28"/>
          <w:lang w:bidi="ru-RU"/>
        </w:rPr>
        <w:t xml:space="preserve">Целевая программа «Рента на паях» ВАША ВЫГОДА до </w:t>
      </w:r>
      <w:r w:rsidRPr="00E27618">
        <w:rPr>
          <w:i/>
          <w:szCs w:val="28"/>
          <w:lang w:bidi="ru-RU"/>
        </w:rPr>
        <w:lastRenderedPageBreak/>
        <w:t>18,0% годовых</w:t>
      </w:r>
      <w:r w:rsidRPr="00E27618">
        <w:rPr>
          <w:szCs w:val="28"/>
          <w:lang w:bidi="ru-RU"/>
        </w:rPr>
        <w:t>», ниже указаны контактные данные:</w:t>
      </w:r>
      <w:r w:rsidRPr="00E27618">
        <w:rPr>
          <w:i/>
          <w:szCs w:val="28"/>
          <w:lang w:bidi="ru-RU"/>
        </w:rPr>
        <w:t xml:space="preserve"> </w:t>
      </w:r>
      <w:r w:rsidRPr="00E27618">
        <w:rPr>
          <w:szCs w:val="28"/>
          <w:lang w:bidi="ru-RU"/>
        </w:rPr>
        <w:t>«</w:t>
      </w:r>
      <w:r w:rsidRPr="00E27618">
        <w:rPr>
          <w:i/>
          <w:szCs w:val="28"/>
          <w:lang w:bidi="ru-RU"/>
        </w:rPr>
        <w:t>(8422) 31-51-90 г. Ульяновск, ул. Карла Маркса, д. 13А, корп. 2, офисный центр «Мираж», оф. 105</w:t>
      </w:r>
      <w:r w:rsidRPr="00E27618">
        <w:rPr>
          <w:szCs w:val="28"/>
          <w:lang w:bidi="ru-RU"/>
        </w:rPr>
        <w:t>».  По нижнему краю рекламного модуля размещена информация: «</w:t>
      </w:r>
      <w:r w:rsidRPr="00E27618">
        <w:rPr>
          <w:i/>
          <w:szCs w:val="28"/>
          <w:lang w:bidi="ru-RU"/>
        </w:rPr>
        <w:t>Потребительский кооператив по реализации целевых программ для пайщиков «Доверие», ИНН 1838022300, ОГРН 1181832026199.  Целевая потребительская программа «Рента на паях».  Ставка 9,0%/ 16,9%/ 18,0% годовых (удерживается НДФЛ).  Срок договора 3 месяца/ 6 месяцев/ 12 месяцев.  Минимальная сумма паевого целевого взноса - 1000 руб.  Пайщики - участники программы уплачивают ежегодный членский целевой взнос в размере 0,4% от суммы паевых целевых взносов (или стоимости имущества, внесенного в качестве паевого целевого взноса).  Потребительская выгода выплачивается по заявлению пайщика в течение срока действия договора или в конце срока договора.  Существует возможность пополнения паевого целевого взноса.  При досрочном расторжении договора потребительская выгода составит 0,35% годовых от суммы паевого целевого взноса (или стоимости имущества, внесенного в качестве паевого целевого взноса).  Возможно частичное снятие паевого целевого взноса в течение срока действия договора, но не более 1 раза за весь период действия договора и не более 30% от суммы внесенного паевого целевого взноса.  Участие в программе доступно пайщикам кооператива, оплатившим разово вступительный взнос 50 руб., обязательный паевой взнос 50 руб.  Условия действительны на момент выхода рекламы</w:t>
      </w:r>
      <w:r w:rsidRPr="00E27618">
        <w:rPr>
          <w:szCs w:val="28"/>
          <w:lang w:bidi="ru-RU"/>
        </w:rPr>
        <w:t>», под знаком «сноска»: «</w:t>
      </w:r>
      <w:r w:rsidRPr="00E27618">
        <w:rPr>
          <w:i/>
          <w:szCs w:val="28"/>
          <w:lang w:bidi="ru-RU"/>
        </w:rPr>
        <w:t>*НКО «МОВС», ИНН 7839045118, Лицензия Банка России ВС № 4349 от 28.02.2019 года.  С договором можно ознакомиться в офисе кооператива</w:t>
      </w:r>
      <w:r w:rsidRPr="00E27618">
        <w:rPr>
          <w:szCs w:val="28"/>
          <w:lang w:bidi="ru-RU"/>
        </w:rPr>
        <w:t>».</w:t>
      </w:r>
    </w:p>
    <w:p w:rsidR="0010152D" w:rsidRPr="00E27618" w:rsidRDefault="0010152D" w:rsidP="0010152D">
      <w:pPr>
        <w:tabs>
          <w:tab w:val="left" w:pos="5245"/>
        </w:tabs>
        <w:ind w:firstLine="709"/>
        <w:jc w:val="both"/>
        <w:rPr>
          <w:szCs w:val="28"/>
          <w:lang w:bidi="ru-RU"/>
        </w:rPr>
      </w:pPr>
      <w:r w:rsidRPr="00E27618">
        <w:rPr>
          <w:szCs w:val="28"/>
          <w:lang w:bidi="ru-RU"/>
        </w:rPr>
        <w:t>Из буквального восприятия содержания рассматриваемой рекламы следует, что ПК «Доверие», переименованный в ПК «Взаимное доверие», предлагает неопределенному кругу лиц разместить накопления в целевую программу «Рента на паях» кооператива и не содержит сведений о деятельности кооператива.  То есть реклама привлекает (предлагает разместить) денежные средства и (или) иное имущество еще не пайщикам (реклама направлена на привлечение новых пайщиков).</w:t>
      </w:r>
    </w:p>
    <w:p w:rsidR="0010152D" w:rsidRPr="00E27618" w:rsidRDefault="0010152D" w:rsidP="0010152D">
      <w:pPr>
        <w:tabs>
          <w:tab w:val="left" w:pos="5245"/>
        </w:tabs>
        <w:ind w:firstLine="709"/>
        <w:jc w:val="both"/>
        <w:rPr>
          <w:iCs/>
          <w:szCs w:val="28"/>
          <w:lang w:bidi="ru-RU"/>
        </w:rPr>
      </w:pPr>
      <w:r w:rsidRPr="00E27618">
        <w:rPr>
          <w:iCs/>
          <w:szCs w:val="28"/>
          <w:lang w:bidi="ru-RU"/>
        </w:rPr>
        <w:t>В бытовом, общеупотребительном значении слово «накопления», в первую очередь, употребляется как обозначение накопления определенной суммы денег - денежные накопления.</w:t>
      </w:r>
    </w:p>
    <w:p w:rsidR="0010152D" w:rsidRPr="00E27618" w:rsidRDefault="0010152D" w:rsidP="0010152D">
      <w:pPr>
        <w:tabs>
          <w:tab w:val="left" w:pos="5245"/>
        </w:tabs>
        <w:ind w:firstLine="709"/>
        <w:jc w:val="both"/>
        <w:rPr>
          <w:iCs/>
          <w:szCs w:val="28"/>
          <w:lang w:bidi="ru-RU"/>
        </w:rPr>
      </w:pPr>
      <w:r w:rsidRPr="00E27618">
        <w:rPr>
          <w:iCs/>
          <w:szCs w:val="28"/>
          <w:lang w:bidi="ru-RU"/>
        </w:rPr>
        <w:t>Таким образом, в рассматриваемой рекламе предлагается неограниченному кругу лиц разместить (внести) денежные средства и их эквиваленты, выступающие в качестве самостоятельных объектов гражданских прав, в целевом фонде «Рента на паях» ПК «Доверие» (ПК «Взаимное доверие») под проценты.</w:t>
      </w:r>
    </w:p>
    <w:p w:rsidR="0010152D" w:rsidRPr="00E27618" w:rsidRDefault="0010152D" w:rsidP="0010152D">
      <w:pPr>
        <w:tabs>
          <w:tab w:val="left" w:pos="5245"/>
        </w:tabs>
        <w:autoSpaceDE w:val="0"/>
        <w:autoSpaceDN w:val="0"/>
        <w:adjustRightInd w:val="0"/>
        <w:ind w:firstLine="709"/>
        <w:jc w:val="both"/>
        <w:rPr>
          <w:iCs/>
          <w:szCs w:val="28"/>
          <w:lang w:bidi="ru-RU"/>
        </w:rPr>
      </w:pPr>
      <w:r w:rsidRPr="00E27618">
        <w:rPr>
          <w:szCs w:val="28"/>
        </w:rPr>
        <w:t xml:space="preserve">Рассматриваемая </w:t>
      </w:r>
      <w:r w:rsidRPr="00E27618">
        <w:rPr>
          <w:iCs/>
          <w:szCs w:val="28"/>
          <w:lang w:bidi="ru-RU"/>
        </w:rPr>
        <w:t xml:space="preserve">реклама, направленная неопределенному кругу лиц, содержащая все существенные условия договора об участии в хозяйственной деятельности пайщика в потребительской программе «Рента на паях» (фактически - договора займа), на которых кооператив готов с любым и </w:t>
      </w:r>
      <w:r w:rsidRPr="00E27618">
        <w:rPr>
          <w:iCs/>
          <w:szCs w:val="28"/>
          <w:lang w:bidi="ru-RU"/>
        </w:rPr>
        <w:lastRenderedPageBreak/>
        <w:t>каждым, который обладает минимальной денежной суммой, при выражении волеизъявлении заключить указанный договор, является в данном случае публичной офертой.</w:t>
      </w:r>
    </w:p>
    <w:p w:rsidR="0010152D" w:rsidRPr="00E27618" w:rsidRDefault="0010152D" w:rsidP="0010152D">
      <w:pPr>
        <w:tabs>
          <w:tab w:val="left" w:pos="5245"/>
        </w:tabs>
        <w:autoSpaceDE w:val="0"/>
        <w:autoSpaceDN w:val="0"/>
        <w:adjustRightInd w:val="0"/>
        <w:ind w:firstLine="709"/>
        <w:jc w:val="both"/>
        <w:rPr>
          <w:iCs/>
          <w:szCs w:val="28"/>
          <w:lang w:bidi="ru-RU"/>
        </w:rPr>
      </w:pPr>
      <w:r w:rsidRPr="00E27618">
        <w:rPr>
          <w:iCs/>
          <w:szCs w:val="28"/>
          <w:lang w:bidi="ru-RU"/>
        </w:rPr>
        <w:t>ПК «Взаимное доверие» (ПК «Доверие») не является лицом (кооперативом), которому предоставлено право на привлечение денежных средств граждан.</w:t>
      </w:r>
    </w:p>
    <w:p w:rsidR="0010152D" w:rsidRPr="00E27618" w:rsidRDefault="0010152D" w:rsidP="0010152D">
      <w:pPr>
        <w:tabs>
          <w:tab w:val="left" w:pos="5245"/>
        </w:tabs>
        <w:autoSpaceDE w:val="0"/>
        <w:autoSpaceDN w:val="0"/>
        <w:adjustRightInd w:val="0"/>
        <w:ind w:firstLine="709"/>
        <w:jc w:val="both"/>
        <w:rPr>
          <w:iCs/>
          <w:szCs w:val="28"/>
          <w:lang w:bidi="ru-RU"/>
        </w:rPr>
      </w:pPr>
      <w:r w:rsidRPr="00E27618">
        <w:rPr>
          <w:iCs/>
          <w:szCs w:val="28"/>
          <w:lang w:bidi="ru-RU"/>
        </w:rPr>
        <w:t>Исходя из положений Закона «О потребительской кооперации», основная цель деятельности потребительских кооперативов носит узконаправленный характер и не предполагает привлечение денежных средств граждан.  При этом, согласно Федеральному закону от 18.07.2009 № 190-ФЗ «О кредитной кооперации» кредитный потребительский кооператив наделен правом на привлечение денежных средств граждан (ч. 1 ст. 3 указанного Федерального закона).</w:t>
      </w:r>
    </w:p>
    <w:p w:rsidR="0010152D" w:rsidRPr="00E27618" w:rsidRDefault="0010152D" w:rsidP="0010152D">
      <w:pPr>
        <w:tabs>
          <w:tab w:val="left" w:pos="5245"/>
        </w:tabs>
        <w:autoSpaceDE w:val="0"/>
        <w:autoSpaceDN w:val="0"/>
        <w:adjustRightInd w:val="0"/>
        <w:ind w:firstLine="709"/>
        <w:jc w:val="both"/>
        <w:rPr>
          <w:szCs w:val="28"/>
        </w:rPr>
      </w:pPr>
      <w:r w:rsidRPr="00E27618">
        <w:rPr>
          <w:szCs w:val="28"/>
        </w:rPr>
        <w:t xml:space="preserve">В соответствии с </w:t>
      </w:r>
      <w:r w:rsidRPr="00E27618">
        <w:rPr>
          <w:iCs/>
          <w:szCs w:val="28"/>
          <w:lang w:bidi="ru-RU"/>
        </w:rPr>
        <w:t xml:space="preserve">ч. 6 ст. 807 ГК РФ </w:t>
      </w:r>
      <w:r w:rsidRPr="00E27618">
        <w:rPr>
          <w:szCs w:val="28"/>
        </w:rPr>
        <w:t>осуществление систематической деятельности по привлечению денежных средств граждан в виде займов под проценты путем публичной оферты и путем предложения делать оферту, направленного неопределенному кругу лиц, запрещено для юридических лиц, не являющихся финансовыми организациями, которым предоставлено право на привлечение денежных средств граждан.</w:t>
      </w:r>
    </w:p>
    <w:p w:rsidR="0010152D" w:rsidRPr="00E27618" w:rsidRDefault="0010152D" w:rsidP="0010152D">
      <w:pPr>
        <w:tabs>
          <w:tab w:val="left" w:pos="5245"/>
        </w:tabs>
        <w:ind w:firstLine="709"/>
        <w:jc w:val="both"/>
        <w:rPr>
          <w:iCs/>
          <w:szCs w:val="28"/>
          <w:lang w:bidi="ru-RU"/>
        </w:rPr>
      </w:pPr>
      <w:r w:rsidRPr="00E27618">
        <w:rPr>
          <w:iCs/>
          <w:szCs w:val="28"/>
          <w:lang w:bidi="ru-RU"/>
        </w:rPr>
        <w:t>Кроме того, рекламная информация оформлена таким образом, что внимание потребителей рекламы акцентируется на визуальном изображении счастливых людей пожилого возраста, а также текстовой информации: «ПК ДОВЕРИЕ», «ДЕЙСТВУЕТ СТРАХОВАНИЕ», «ВАША ВЫГОДА до 18,0% годовых», «ВЫГОДНОЕ И НАДЕЖНОЕ РАЗМЕЩЕНИЕ НАКОПЛЕНИЙ!»; «ПК ДОВЕРИЕ», «ДЕЙСТВУЕТ СТРАХОВАНИЕ», ВАША ВЫГОДА до 18,0% годовых».  Указанная информация, размещенная в рассматриваемой рекламе, может ввести потенциальных потребителей в заблуждение, создав впечатление о наличии страхования накоплений, привлекаемых кооперативом, аналогичного страхованию вкладов в банках и, как следствие, наличии гарантий повышенной сохранности и возвратности вложений.</w:t>
      </w:r>
    </w:p>
    <w:p w:rsidR="0010152D" w:rsidRPr="00E27618" w:rsidRDefault="0010152D" w:rsidP="0010152D">
      <w:pPr>
        <w:tabs>
          <w:tab w:val="left" w:pos="5245"/>
        </w:tabs>
        <w:ind w:firstLine="709"/>
        <w:jc w:val="both"/>
        <w:rPr>
          <w:iCs/>
          <w:szCs w:val="28"/>
          <w:lang w:bidi="ru-RU"/>
        </w:rPr>
      </w:pPr>
      <w:r w:rsidRPr="00E27618">
        <w:rPr>
          <w:iCs/>
          <w:szCs w:val="28"/>
          <w:lang w:bidi="ru-RU"/>
        </w:rPr>
        <w:t>Потребитель при выборе товара (работы, услуги) посредством восприятия рекламы делает свой выбор исходя из самой запоминающейся, самой понятной и самой, в его понимании, необходимой информации.  В большинстве случаев используемые в рекламной информации фразы трактуются рядовым потребителем рекламы буквально.  Потребитель не имеет обязанности проведения анализа рекламы, проверки достоверности и достаточности заявленных в ней сведений.</w:t>
      </w:r>
    </w:p>
    <w:p w:rsidR="0010152D" w:rsidRPr="00E27618" w:rsidRDefault="0010152D" w:rsidP="0010152D">
      <w:pPr>
        <w:tabs>
          <w:tab w:val="left" w:pos="5245"/>
        </w:tabs>
        <w:ind w:firstLine="709"/>
        <w:jc w:val="both"/>
        <w:rPr>
          <w:iCs/>
          <w:szCs w:val="28"/>
          <w:lang w:bidi="ru-RU"/>
        </w:rPr>
      </w:pPr>
      <w:r w:rsidRPr="00E27618">
        <w:rPr>
          <w:iCs/>
          <w:szCs w:val="28"/>
          <w:lang w:bidi="ru-RU"/>
        </w:rPr>
        <w:t>Кроме того, по нижнему краю рекламы в ссылке относительно «страхования» указано: «</w:t>
      </w:r>
      <w:r w:rsidRPr="00E27618">
        <w:rPr>
          <w:i/>
          <w:iCs/>
          <w:szCs w:val="28"/>
          <w:lang w:bidi="ru-RU"/>
        </w:rPr>
        <w:t xml:space="preserve">*НКО «МОВС», ИНН 7839045118, </w:t>
      </w:r>
      <w:r w:rsidRPr="00E27618">
        <w:rPr>
          <w:i/>
          <w:iCs/>
          <w:szCs w:val="28"/>
          <w:u w:val="single"/>
          <w:lang w:bidi="ru-RU"/>
        </w:rPr>
        <w:t>Лицензия Банка России</w:t>
      </w:r>
      <w:r w:rsidRPr="00E27618">
        <w:rPr>
          <w:i/>
          <w:iCs/>
          <w:szCs w:val="28"/>
          <w:lang w:bidi="ru-RU"/>
        </w:rPr>
        <w:t xml:space="preserve"> ВС № 4349 от 28.02.2019 года.  С договором можно ознакомиться в офисе кооператива</w:t>
      </w:r>
      <w:r w:rsidRPr="00E27618">
        <w:rPr>
          <w:iCs/>
          <w:szCs w:val="28"/>
          <w:lang w:bidi="ru-RU"/>
        </w:rPr>
        <w:t>», то есть, приводятся сведения о лицензии Банка России, что ещё больше усиливает впечатление о надежности вложений.</w:t>
      </w:r>
    </w:p>
    <w:p w:rsidR="0010152D" w:rsidRPr="00E27618" w:rsidRDefault="0010152D" w:rsidP="0010152D">
      <w:pPr>
        <w:tabs>
          <w:tab w:val="left" w:pos="5245"/>
        </w:tabs>
        <w:ind w:firstLine="709"/>
        <w:jc w:val="both"/>
        <w:rPr>
          <w:iCs/>
          <w:szCs w:val="28"/>
          <w:lang w:bidi="ru-RU"/>
        </w:rPr>
      </w:pPr>
      <w:r w:rsidRPr="00E27618">
        <w:rPr>
          <w:iCs/>
          <w:szCs w:val="28"/>
          <w:lang w:bidi="ru-RU"/>
        </w:rPr>
        <w:lastRenderedPageBreak/>
        <w:t>Однако, между ПК «Взаимное доверие» и НКО «МОВС» заключен договор страхования предпринимательских рисков № ПР КПО 0005 от 16.04.2019. Страхование предпринимательских рисков ПК «Взаимное доверие» не является безусловной гарантией возврата пайщикам денежных средств, переданных кооперативу.</w:t>
      </w:r>
    </w:p>
    <w:p w:rsidR="0010152D" w:rsidRPr="00E27618" w:rsidRDefault="0010152D" w:rsidP="0010152D">
      <w:pPr>
        <w:tabs>
          <w:tab w:val="left" w:pos="5245"/>
        </w:tabs>
        <w:ind w:firstLine="709"/>
        <w:jc w:val="both"/>
        <w:rPr>
          <w:iCs/>
          <w:szCs w:val="28"/>
          <w:lang w:bidi="ru-RU"/>
        </w:rPr>
      </w:pPr>
      <w:r w:rsidRPr="00E27618">
        <w:rPr>
          <w:iCs/>
          <w:szCs w:val="28"/>
          <w:lang w:bidi="ru-RU"/>
        </w:rPr>
        <w:t xml:space="preserve">В соответствии с </w:t>
      </w:r>
      <w:r w:rsidRPr="00E27618">
        <w:rPr>
          <w:iCs/>
          <w:szCs w:val="28"/>
          <w:u w:val="single"/>
          <w:lang w:bidi="ru-RU"/>
        </w:rPr>
        <w:t>ч. 1 ст. 5</w:t>
      </w:r>
      <w:r w:rsidRPr="00E27618">
        <w:rPr>
          <w:iCs/>
          <w:szCs w:val="28"/>
          <w:lang w:bidi="ru-RU"/>
        </w:rPr>
        <w:t xml:space="preserve"> Федерального закона «О рекламе» реклама должна быть добросовестной и достоверной.  Недобросовестная реклама и недостоверная реклама не допускаются.</w:t>
      </w:r>
    </w:p>
    <w:p w:rsidR="0010152D" w:rsidRPr="00E27618" w:rsidRDefault="0010152D" w:rsidP="0010152D">
      <w:pPr>
        <w:tabs>
          <w:tab w:val="left" w:pos="5245"/>
        </w:tabs>
        <w:ind w:firstLine="709"/>
        <w:jc w:val="both"/>
        <w:rPr>
          <w:iCs/>
          <w:szCs w:val="28"/>
          <w:lang w:bidi="ru-RU"/>
        </w:rPr>
      </w:pPr>
      <w:r w:rsidRPr="00E27618">
        <w:rPr>
          <w:iCs/>
          <w:szCs w:val="28"/>
          <w:lang w:bidi="ru-RU"/>
        </w:rPr>
        <w:t xml:space="preserve">Согласно </w:t>
      </w:r>
      <w:r w:rsidRPr="00E27618">
        <w:rPr>
          <w:iCs/>
          <w:szCs w:val="28"/>
          <w:u w:val="single"/>
          <w:lang w:bidi="ru-RU"/>
        </w:rPr>
        <w:t>п. 2 ч. 3 ст. 5</w:t>
      </w:r>
      <w:r w:rsidRPr="00E27618">
        <w:rPr>
          <w:iCs/>
          <w:szCs w:val="28"/>
          <w:lang w:bidi="ru-RU"/>
        </w:rPr>
        <w:t xml:space="preserve"> Федерального закона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10152D" w:rsidRPr="00E27618" w:rsidRDefault="0010152D" w:rsidP="0010152D">
      <w:pPr>
        <w:tabs>
          <w:tab w:val="left" w:pos="5245"/>
        </w:tabs>
        <w:ind w:firstLine="709"/>
        <w:jc w:val="both"/>
        <w:rPr>
          <w:iCs/>
          <w:szCs w:val="28"/>
          <w:lang w:bidi="ru-RU"/>
        </w:rPr>
      </w:pPr>
      <w:r w:rsidRPr="00E27618">
        <w:rPr>
          <w:iCs/>
          <w:szCs w:val="28"/>
          <w:lang w:bidi="ru-RU"/>
        </w:rPr>
        <w:t>Из представленной в рассматриваемой рекламе информации создается впечатление, что личные накопления пайщиков кооператива застрахованы.  Кроме того, как указало в обращении Волго-Вятское главное управление Центрального банка Российской Федерации, гарантируя эффективность деятельности и доходность вложений или обещая её в будущем, рекламодатель может не достигнуть желаемого результата, и неизбежно введёт потребителей в заблуждение, поскольку финансовые результаты в прошлом не определяют доходы в будущем.</w:t>
      </w:r>
    </w:p>
    <w:p w:rsidR="0010152D" w:rsidRPr="00E27618" w:rsidRDefault="0010152D" w:rsidP="0010152D">
      <w:pPr>
        <w:tabs>
          <w:tab w:val="left" w:pos="5245"/>
        </w:tabs>
        <w:ind w:firstLine="709"/>
        <w:jc w:val="both"/>
        <w:rPr>
          <w:iCs/>
          <w:szCs w:val="28"/>
          <w:lang w:bidi="ru-RU"/>
        </w:rPr>
      </w:pPr>
      <w:r w:rsidRPr="00E27618">
        <w:rPr>
          <w:iCs/>
          <w:szCs w:val="28"/>
          <w:lang w:bidi="ru-RU"/>
        </w:rPr>
        <w:t xml:space="preserve">В соответствии с </w:t>
      </w:r>
      <w:r w:rsidRPr="00E27618">
        <w:rPr>
          <w:iCs/>
          <w:szCs w:val="28"/>
          <w:u w:val="single"/>
          <w:lang w:bidi="ru-RU"/>
        </w:rPr>
        <w:t>ч. 11 ст. 5</w:t>
      </w:r>
      <w:r w:rsidRPr="00E27618">
        <w:rPr>
          <w:iCs/>
          <w:szCs w:val="28"/>
          <w:lang w:bidi="ru-RU"/>
        </w:rPr>
        <w:t xml:space="preserve"> Федерального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10152D" w:rsidRPr="00E27618" w:rsidRDefault="0010152D" w:rsidP="0010152D">
      <w:pPr>
        <w:tabs>
          <w:tab w:val="left" w:pos="5245"/>
        </w:tabs>
        <w:ind w:firstLine="709"/>
        <w:jc w:val="both"/>
        <w:rPr>
          <w:iCs/>
          <w:szCs w:val="28"/>
          <w:lang w:bidi="ru-RU"/>
        </w:rPr>
      </w:pPr>
      <w:r w:rsidRPr="00E27618">
        <w:rPr>
          <w:iCs/>
          <w:szCs w:val="28"/>
          <w:lang w:bidi="ru-RU"/>
        </w:rPr>
        <w:t>В данном случае посредством рассматриваемой рекламы привлекаются, в том числе, денежные средства граждан путем заключения договора об участии в хозяйственной деятельности пайщика в потребительской программе «Рента на паях» (фактически - договора займа) юридическим лицом, которому не предоставлено право на привлечение денежных средств граждан, что не допускается в соответствии с ч. 6 ст. 807 ГК РФ.</w:t>
      </w:r>
    </w:p>
    <w:p w:rsidR="0010152D" w:rsidRPr="00E27618" w:rsidRDefault="0010152D" w:rsidP="0010152D">
      <w:pPr>
        <w:tabs>
          <w:tab w:val="left" w:pos="5245"/>
        </w:tabs>
        <w:ind w:firstLine="709"/>
        <w:jc w:val="both"/>
        <w:rPr>
          <w:iCs/>
          <w:szCs w:val="28"/>
          <w:lang w:bidi="ru-RU"/>
        </w:rPr>
      </w:pPr>
      <w:r w:rsidRPr="00E27618">
        <w:rPr>
          <w:iCs/>
          <w:szCs w:val="28"/>
          <w:lang w:bidi="ru-RU"/>
        </w:rPr>
        <w:t xml:space="preserve">Согласно </w:t>
      </w:r>
      <w:r w:rsidRPr="00E27618">
        <w:rPr>
          <w:iCs/>
          <w:szCs w:val="28"/>
          <w:u w:val="single"/>
          <w:lang w:bidi="ru-RU"/>
        </w:rPr>
        <w:t>п. 1 ч. 2 ст. 28</w:t>
      </w:r>
      <w:r w:rsidRPr="00E27618">
        <w:rPr>
          <w:iCs/>
          <w:szCs w:val="28"/>
          <w:lang w:bidi="ru-RU"/>
        </w:rPr>
        <w:t xml:space="preserve"> Федерального закона «О рекламе» реклама банковских, страховых и иных финансовых услуг и финансовой деятельности не должна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10152D" w:rsidRPr="00E27618" w:rsidRDefault="0010152D" w:rsidP="0010152D">
      <w:pPr>
        <w:tabs>
          <w:tab w:val="left" w:pos="5245"/>
        </w:tabs>
        <w:ind w:firstLine="709"/>
        <w:jc w:val="both"/>
        <w:rPr>
          <w:szCs w:val="28"/>
          <w:lang w:bidi="ru-RU"/>
        </w:rPr>
      </w:pPr>
      <w:r w:rsidRPr="00E27618">
        <w:rPr>
          <w:iCs/>
          <w:szCs w:val="28"/>
          <w:lang w:bidi="ru-RU"/>
        </w:rPr>
        <w:lastRenderedPageBreak/>
        <w:t xml:space="preserve">Как указывается в постановлении Пленума Верховного Суда Российской Федерации от 28.06.2012 № 17 «О рассмотрении судами гражданских дел по спорам о защите прав потребителей»,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w:t>
      </w:r>
      <w:r w:rsidRPr="00E27618">
        <w:rPr>
          <w:iCs/>
          <w:szCs w:val="28"/>
          <w:u w:val="single"/>
          <w:lang w:bidi="ru-RU"/>
        </w:rPr>
        <w:t>выступающих в качестве самостоятельных объектов гражданских прав</w:t>
      </w:r>
      <w:r w:rsidRPr="00E27618">
        <w:rPr>
          <w:iCs/>
          <w:szCs w:val="28"/>
          <w:lang w:bidi="ru-RU"/>
        </w:rPr>
        <w:t xml:space="preserve">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r w:rsidRPr="00E27618">
        <w:rPr>
          <w:szCs w:val="28"/>
          <w:lang w:bidi="ru-RU"/>
        </w:rPr>
        <w:t xml:space="preserve">  При этом согласно п. 7 указанного постановления законодательством о защите прав потребителей не регулируется отношения граждан с некоммерческими объединениями граждан, если эти отношения возникают в связи с членством граждан в этих организациях.</w:t>
      </w:r>
    </w:p>
    <w:p w:rsidR="0010152D" w:rsidRPr="00E27618" w:rsidRDefault="0010152D" w:rsidP="0010152D">
      <w:pPr>
        <w:tabs>
          <w:tab w:val="left" w:pos="5245"/>
        </w:tabs>
        <w:ind w:firstLine="709"/>
        <w:jc w:val="both"/>
        <w:rPr>
          <w:iCs/>
          <w:szCs w:val="28"/>
          <w:lang w:bidi="ru-RU"/>
        </w:rPr>
      </w:pPr>
      <w:r w:rsidRPr="00E27618">
        <w:rPr>
          <w:iCs/>
          <w:szCs w:val="28"/>
          <w:lang w:bidi="ru-RU"/>
        </w:rPr>
        <w:t>Таким образом, нарушение п. 1 ч. 2 ст. 28 Федерального закона «О рекламе» в рассматриваемой рекламе отсутствует, поскольку указанная норма предъявляет требования к рекламе лиц, осуществляющих финансовую деятельность.  ПК «Взаимное доверие» не является финансовой организацией.</w:t>
      </w:r>
    </w:p>
    <w:p w:rsidR="0010152D" w:rsidRPr="00E27618" w:rsidRDefault="0010152D" w:rsidP="0010152D">
      <w:pPr>
        <w:tabs>
          <w:tab w:val="left" w:pos="5245"/>
        </w:tabs>
        <w:ind w:firstLine="709"/>
        <w:jc w:val="both"/>
        <w:rPr>
          <w:iCs/>
          <w:szCs w:val="28"/>
          <w:lang w:bidi="ru-RU"/>
        </w:rPr>
      </w:pPr>
      <w:r w:rsidRPr="00E27618">
        <w:rPr>
          <w:iCs/>
          <w:szCs w:val="28"/>
          <w:lang w:bidi="ru-RU"/>
        </w:rPr>
        <w:t xml:space="preserve">Согласно </w:t>
      </w:r>
      <w:hyperlink r:id="rId31" w:history="1">
        <w:r w:rsidRPr="00E27618">
          <w:rPr>
            <w:rStyle w:val="a7"/>
            <w:iCs/>
            <w:szCs w:val="28"/>
            <w:lang w:bidi="ru-RU"/>
          </w:rPr>
          <w:t>ч. 14 ст. 28</w:t>
        </w:r>
      </w:hyperlink>
      <w:r w:rsidRPr="00E27618">
        <w:rPr>
          <w:iCs/>
          <w:szCs w:val="28"/>
          <w:lang w:bidi="ru-RU"/>
        </w:rPr>
        <w:t xml:space="preserve"> Федерального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10152D" w:rsidRPr="00E27618" w:rsidRDefault="0010152D" w:rsidP="0010152D">
      <w:pPr>
        <w:tabs>
          <w:tab w:val="left" w:pos="5245"/>
        </w:tabs>
        <w:ind w:firstLine="709"/>
        <w:jc w:val="both"/>
        <w:rPr>
          <w:iCs/>
          <w:szCs w:val="28"/>
          <w:lang w:bidi="ru-RU"/>
        </w:rPr>
      </w:pPr>
      <w:r w:rsidRPr="00E27618">
        <w:rPr>
          <w:iCs/>
          <w:szCs w:val="28"/>
          <w:lang w:bidi="ru-RU"/>
        </w:rPr>
        <w:t>При этом ч. 14 ст. 28 Федерального закона «О рекламе» распространяется, в том числе, на рекламу нефинансовых организаций.</w:t>
      </w:r>
    </w:p>
    <w:p w:rsidR="0010152D" w:rsidRPr="00E27618" w:rsidRDefault="0010152D" w:rsidP="0010152D">
      <w:pPr>
        <w:tabs>
          <w:tab w:val="left" w:pos="5245"/>
        </w:tabs>
        <w:ind w:firstLine="709"/>
        <w:jc w:val="both"/>
        <w:rPr>
          <w:b/>
          <w:szCs w:val="28"/>
        </w:rPr>
      </w:pPr>
      <w:r w:rsidRPr="00E27618">
        <w:rPr>
          <w:iCs/>
          <w:szCs w:val="28"/>
          <w:lang w:bidi="ru-RU"/>
        </w:rPr>
        <w:t xml:space="preserve">Кроме того, согласно сведениям, размещенным в Едином государственном реестре юридических лиц, основным видом деятельности ПК «Доверие» (ПК «Взаимное доверие») на момент распространения рассматриваемой рекламы (до </w:t>
      </w:r>
      <w:r w:rsidRPr="00E27618">
        <w:rPr>
          <w:szCs w:val="28"/>
        </w:rPr>
        <w:t>02.10.2019</w:t>
      </w:r>
      <w:r w:rsidRPr="00E27618">
        <w:rPr>
          <w:iCs/>
          <w:szCs w:val="28"/>
          <w:lang w:bidi="ru-RU"/>
        </w:rPr>
        <w:t>) было указано «П</w:t>
      </w:r>
      <w:r w:rsidRPr="00E27618">
        <w:rPr>
          <w:bCs/>
          <w:szCs w:val="28"/>
        </w:rPr>
        <w:t>редоставление прочих финансовых услуг, кроме услуг по страхованию и пенсионному обеспечению, не включенных в другие группировки»</w:t>
      </w:r>
      <w:r w:rsidRPr="00E27618">
        <w:rPr>
          <w:iCs/>
          <w:szCs w:val="28"/>
          <w:lang w:bidi="ru-RU"/>
        </w:rPr>
        <w:t xml:space="preserve"> (код ОКВЭД 64.99).  При этом вид деятельности «А</w:t>
      </w:r>
      <w:r w:rsidRPr="00E27618">
        <w:rPr>
          <w:szCs w:val="28"/>
          <w:lang w:bidi="ru-RU"/>
        </w:rPr>
        <w:t xml:space="preserve">ренда и управление собственным или арендованным недвижимым имуществом» (ОКВЭД 68.20) в качестве основного вида деятельности указан только со </w:t>
      </w:r>
      <w:r w:rsidRPr="00E27618">
        <w:rPr>
          <w:szCs w:val="28"/>
        </w:rPr>
        <w:t>02.10.2019.</w:t>
      </w:r>
    </w:p>
    <w:p w:rsidR="0010152D" w:rsidRPr="00E27618" w:rsidRDefault="0010152D" w:rsidP="0010152D">
      <w:pPr>
        <w:tabs>
          <w:tab w:val="left" w:pos="5245"/>
        </w:tabs>
        <w:ind w:firstLine="709"/>
        <w:jc w:val="both"/>
        <w:rPr>
          <w:szCs w:val="28"/>
        </w:rPr>
      </w:pPr>
      <w:r w:rsidRPr="00E27618">
        <w:rPr>
          <w:szCs w:val="28"/>
        </w:rPr>
        <w:t xml:space="preserve">Решением Ульяновского УФАС России от 16.12.2019 реклама ПК «Доверие» (после </w:t>
      </w:r>
      <w:r w:rsidRPr="00E27618">
        <w:rPr>
          <w:szCs w:val="28"/>
          <w:lang w:bidi="ru-RU"/>
        </w:rPr>
        <w:t>28.08.2019 - ПК «Взаимное доверие»</w:t>
      </w:r>
      <w:r w:rsidRPr="00E27618">
        <w:rPr>
          <w:szCs w:val="28"/>
        </w:rPr>
        <w:t>), признана ненадлежащей, поскольку в ней нарушены требования ч. 1, п. 2 ч. 3, ч. 11 ст. 5 и ч. 14 ст. 28 Федерального закона «О рекламе».</w:t>
      </w:r>
    </w:p>
    <w:p w:rsidR="0010152D" w:rsidRPr="00E27618" w:rsidRDefault="0010152D" w:rsidP="0010152D">
      <w:pPr>
        <w:tabs>
          <w:tab w:val="left" w:pos="5245"/>
        </w:tabs>
        <w:spacing w:before="240"/>
        <w:ind w:firstLine="709"/>
        <w:rPr>
          <w:b/>
          <w:szCs w:val="28"/>
          <w:u w:val="single"/>
        </w:rPr>
      </w:pPr>
      <w:r w:rsidRPr="00E27618">
        <w:rPr>
          <w:b/>
          <w:szCs w:val="28"/>
          <w:u w:val="single"/>
        </w:rPr>
        <w:t>Дело № 073/05/21-16047/2019:</w:t>
      </w:r>
    </w:p>
    <w:p w:rsidR="0010152D" w:rsidRPr="00E27618" w:rsidRDefault="0010152D" w:rsidP="0010152D">
      <w:pPr>
        <w:tabs>
          <w:tab w:val="left" w:pos="5245"/>
        </w:tabs>
        <w:spacing w:before="120"/>
        <w:ind w:firstLine="709"/>
        <w:jc w:val="both"/>
        <w:rPr>
          <w:szCs w:val="28"/>
          <w:lang w:bidi="ru-RU"/>
        </w:rPr>
      </w:pPr>
      <w:r w:rsidRPr="00E27618">
        <w:rPr>
          <w:szCs w:val="28"/>
          <w:lang w:bidi="ru-RU"/>
        </w:rPr>
        <w:lastRenderedPageBreak/>
        <w:t>В ходе осуществления текущего контроля за соблюдением законодательства Российской Федерации о рекламе сотрудниками Ульяновского УФАС России установлен факт (15.08.2019 произведена фотосъемка) распространения в витрине павильона «ПиВОды» (г. Димитровград Ульяновской обл.) рекламы пива «Пятницкое нефильтрованное» АО «Булгарпиво», «Афанасий светлое» ООО «Частная пивоварня «Афанасий» и «Zlata Podkova» ООО «Частная пивоварня «Zlata Podkova».</w:t>
      </w:r>
    </w:p>
    <w:p w:rsidR="0010152D" w:rsidRPr="00E27618" w:rsidRDefault="0010152D" w:rsidP="0010152D">
      <w:pPr>
        <w:tabs>
          <w:tab w:val="left" w:pos="5245"/>
        </w:tabs>
        <w:ind w:firstLine="709"/>
        <w:jc w:val="both"/>
        <w:rPr>
          <w:szCs w:val="28"/>
          <w:lang w:bidi="ru-RU"/>
        </w:rPr>
      </w:pPr>
      <w:r w:rsidRPr="00E27618">
        <w:rPr>
          <w:szCs w:val="28"/>
          <w:lang w:bidi="ru-RU"/>
        </w:rPr>
        <w:t>Поскольку на рекламных плакатах, размещенных в витринных окнах павильона «ПиВОды», содержится информация о конкретном пиве - «Пятницкое нефильтрованное» АО «Булгарпиво», «Афанасий светлое» ООО «Частная пивоварня «Афанасий» и «Zlata Podkova» ООО «Частная пивоварня «Zlata Podkova», данная информация является рекламой указанного пива и его производителя.  При этом в рекламе не содержится пиктограммы безалкогольного пива.</w:t>
      </w:r>
    </w:p>
    <w:p w:rsidR="0010152D" w:rsidRPr="00E27618" w:rsidRDefault="0010152D" w:rsidP="0010152D">
      <w:pPr>
        <w:tabs>
          <w:tab w:val="left" w:pos="5245"/>
        </w:tabs>
        <w:ind w:firstLine="709"/>
        <w:jc w:val="both"/>
        <w:rPr>
          <w:iCs/>
          <w:szCs w:val="28"/>
          <w:lang w:bidi="ru-RU"/>
        </w:rPr>
      </w:pPr>
      <w:r w:rsidRPr="00E27618">
        <w:rPr>
          <w:iCs/>
          <w:szCs w:val="28"/>
          <w:lang w:bidi="ru-RU"/>
        </w:rPr>
        <w:t xml:space="preserve">Согласно </w:t>
      </w:r>
      <w:r w:rsidRPr="00E27618">
        <w:rPr>
          <w:iCs/>
          <w:szCs w:val="28"/>
          <w:u w:val="single"/>
          <w:lang w:bidi="ru-RU"/>
        </w:rPr>
        <w:t>п. 5 ч. 2 ст. 21</w:t>
      </w:r>
      <w:r w:rsidRPr="00E27618">
        <w:rPr>
          <w:iCs/>
          <w:szCs w:val="28"/>
          <w:lang w:bidi="ru-RU"/>
        </w:rPr>
        <w:t xml:space="preserve"> Федерального закона «О рекламе»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10152D" w:rsidRPr="00E27618" w:rsidRDefault="0010152D" w:rsidP="0010152D">
      <w:pPr>
        <w:tabs>
          <w:tab w:val="left" w:pos="5245"/>
        </w:tabs>
        <w:ind w:firstLine="709"/>
        <w:jc w:val="both"/>
        <w:rPr>
          <w:iCs/>
          <w:szCs w:val="28"/>
          <w:lang w:bidi="ru-RU"/>
        </w:rPr>
      </w:pPr>
      <w:r w:rsidRPr="00E27618">
        <w:rPr>
          <w:iCs/>
          <w:szCs w:val="28"/>
          <w:lang w:bidi="ru-RU"/>
        </w:rPr>
        <w:t xml:space="preserve">Согласно </w:t>
      </w:r>
      <w:r w:rsidRPr="00E27618">
        <w:rPr>
          <w:iCs/>
          <w:szCs w:val="28"/>
          <w:u w:val="single"/>
          <w:lang w:bidi="ru-RU"/>
        </w:rPr>
        <w:t>ч. 3 ст. 21</w:t>
      </w:r>
      <w:r w:rsidRPr="00E27618">
        <w:rPr>
          <w:iCs/>
          <w:szCs w:val="28"/>
          <w:lang w:bidi="ru-RU"/>
        </w:rPr>
        <w:t xml:space="preserve"> Федерального закона «О рекламе»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10152D" w:rsidRPr="00E27618" w:rsidRDefault="0010152D" w:rsidP="0010152D">
      <w:pPr>
        <w:tabs>
          <w:tab w:val="left" w:pos="5245"/>
        </w:tabs>
        <w:ind w:firstLine="709"/>
        <w:jc w:val="both"/>
        <w:rPr>
          <w:iCs/>
          <w:szCs w:val="28"/>
          <w:lang w:bidi="ru-RU"/>
        </w:rPr>
      </w:pPr>
      <w:r w:rsidRPr="00E27618">
        <w:rPr>
          <w:iCs/>
          <w:szCs w:val="28"/>
          <w:lang w:bidi="ru-RU"/>
        </w:rPr>
        <w:t>Реклама</w:t>
      </w:r>
      <w:r w:rsidRPr="00E27618">
        <w:rPr>
          <w:szCs w:val="28"/>
          <w:lang w:bidi="ru-RU"/>
        </w:rPr>
        <w:t xml:space="preserve"> пива «</w:t>
      </w:r>
      <w:r w:rsidRPr="00E27618">
        <w:rPr>
          <w:iCs/>
          <w:szCs w:val="28"/>
          <w:lang w:bidi="ru-RU"/>
        </w:rPr>
        <w:t>Афанасий светлое» ООО «Частная пивоварня «Афанасий» не содержит предупредительной надписи.</w:t>
      </w:r>
    </w:p>
    <w:p w:rsidR="0010152D" w:rsidRPr="00E27618" w:rsidRDefault="0010152D" w:rsidP="0010152D">
      <w:pPr>
        <w:tabs>
          <w:tab w:val="left" w:pos="5245"/>
        </w:tabs>
        <w:ind w:firstLine="709"/>
        <w:jc w:val="both"/>
        <w:rPr>
          <w:szCs w:val="28"/>
        </w:rPr>
      </w:pPr>
      <w:r w:rsidRPr="00E27618">
        <w:rPr>
          <w:szCs w:val="28"/>
        </w:rPr>
        <w:t>Решением Ульяновского УФАС России от 15.11.2019 реклама пива «Пятницкое нефильтрованное» АО «Булгарпиво» и «Zlata Podkova» ООО «Частная пивоварня «Zlata Podkova», размещенная в витрине павильона «ПиВОды», признана ненадлежащей, поскольку в ней нарушены требования п. 5 ч. 2 ст. 21 Федерального закона «О рекламе»; реклама пива «Афанасий светлое» ООО «Частная пивоварня «Афанасий», размещенная в витрине павильона «ПиВОды», признана ненадлежащей, поскольку в ней нарушены требования п. 5 ч. 2 и ч. 3 ст. 21 Федерального закона «О рекламе».</w:t>
      </w:r>
    </w:p>
    <w:p w:rsidR="0010152D" w:rsidRPr="00E27618" w:rsidRDefault="0010152D" w:rsidP="0010152D">
      <w:pPr>
        <w:tabs>
          <w:tab w:val="left" w:pos="5245"/>
        </w:tabs>
        <w:ind w:firstLine="709"/>
        <w:jc w:val="both"/>
        <w:rPr>
          <w:szCs w:val="28"/>
        </w:rPr>
      </w:pPr>
      <w:r w:rsidRPr="00E27618">
        <w:rPr>
          <w:szCs w:val="28"/>
        </w:rPr>
        <w:t>Рекламораспространителю выдано предписание о прекращении нарушения законодательства о рекламе, которое исполнено.</w:t>
      </w:r>
    </w:p>
    <w:p w:rsidR="0010152D" w:rsidRPr="00E27618" w:rsidRDefault="0010152D" w:rsidP="0010152D">
      <w:pPr>
        <w:tabs>
          <w:tab w:val="left" w:pos="5245"/>
        </w:tabs>
        <w:spacing w:before="240"/>
        <w:ind w:firstLine="709"/>
        <w:rPr>
          <w:b/>
          <w:szCs w:val="28"/>
          <w:u w:val="single"/>
        </w:rPr>
      </w:pPr>
      <w:r w:rsidRPr="00E27618">
        <w:rPr>
          <w:b/>
          <w:szCs w:val="28"/>
          <w:u w:val="single"/>
        </w:rPr>
        <w:t>Дело № 073/05/12-16132/2019:</w:t>
      </w:r>
    </w:p>
    <w:p w:rsidR="0010152D" w:rsidRPr="00E27618" w:rsidRDefault="0010152D" w:rsidP="0010152D">
      <w:pPr>
        <w:tabs>
          <w:tab w:val="left" w:pos="5245"/>
        </w:tabs>
        <w:spacing w:before="120"/>
        <w:ind w:firstLine="709"/>
        <w:jc w:val="both"/>
        <w:rPr>
          <w:szCs w:val="28"/>
        </w:rPr>
      </w:pPr>
      <w:r w:rsidRPr="00E27618">
        <w:rPr>
          <w:szCs w:val="28"/>
        </w:rPr>
        <w:t>В ходе осуществления текущего контроля за соблюдением законодательства Российской Федерации о рекламе сотрудниками Ульяновского УФАС России установлены факты распространения в эфире радиоканала «Радио-Вояж Димитровград» ООО РИА «МартПлюс»</w:t>
      </w:r>
      <w:r w:rsidRPr="00E27618">
        <w:rPr>
          <w:szCs w:val="28"/>
          <w:shd w:val="clear" w:color="auto" w:fill="FFFFFF"/>
        </w:rPr>
        <w:t xml:space="preserve"> </w:t>
      </w:r>
      <w:r w:rsidRPr="00E27618">
        <w:rPr>
          <w:szCs w:val="28"/>
        </w:rPr>
        <w:t xml:space="preserve">в июне </w:t>
      </w:r>
      <w:r w:rsidRPr="00E27618">
        <w:rPr>
          <w:szCs w:val="28"/>
        </w:rPr>
        <w:lastRenderedPageBreak/>
        <w:t>2019 года рекламы «Турбаза «Сашуля» и «Автомагазин «Автостарт», содержащей признаки нарушения Федерального закона «О рекламе».</w:t>
      </w:r>
    </w:p>
    <w:p w:rsidR="0010152D" w:rsidRPr="00E27618" w:rsidRDefault="0010152D" w:rsidP="0010152D">
      <w:pPr>
        <w:tabs>
          <w:tab w:val="left" w:pos="5245"/>
        </w:tabs>
        <w:ind w:firstLine="709"/>
        <w:jc w:val="both"/>
        <w:rPr>
          <w:szCs w:val="28"/>
        </w:rPr>
      </w:pPr>
      <w:r w:rsidRPr="00E27618">
        <w:rPr>
          <w:szCs w:val="28"/>
        </w:rPr>
        <w:t>На запрос Ульяновского УФАС России о представлении сведений о рекламодателях, рекламопроизводителях указанной рекламы, копий договоров на оказание рекламных услуг, заявок на распространение рекламы (технических заданий) (исх. № 4534-05 от 30.08.2019) ООО РИА «МартПлюс» сообщило (исх. № 33 от 10.09.2019, вх. № 6174 от 12.09.2019), что рекламные материалы, в связи с затоплением помещения, пришли в ненадлежащее состояние, на восстановление необходимых документов требуется не менее 30 дней.</w:t>
      </w:r>
    </w:p>
    <w:p w:rsidR="0010152D" w:rsidRPr="00E27618" w:rsidRDefault="0010152D" w:rsidP="0010152D">
      <w:pPr>
        <w:tabs>
          <w:tab w:val="left" w:pos="5245"/>
        </w:tabs>
        <w:ind w:firstLine="709"/>
        <w:jc w:val="both"/>
        <w:rPr>
          <w:szCs w:val="28"/>
          <w:lang w:bidi="ru-RU"/>
        </w:rPr>
      </w:pPr>
      <w:r w:rsidRPr="00E27618">
        <w:rPr>
          <w:szCs w:val="28"/>
        </w:rPr>
        <w:t xml:space="preserve">На повторный запрос Ульяновского УФАС России общество сообщило (исх. № 36 от 01.11.2019, вх. № 7663 от 13.11.2019), что запрашиваемые документы восстановлению не подлежат, у общества нет возможности их представить.  </w:t>
      </w:r>
      <w:r w:rsidRPr="00E27618">
        <w:rPr>
          <w:szCs w:val="28"/>
          <w:lang w:bidi="ru-RU"/>
        </w:rPr>
        <w:t>В связи с затоплением помещения пострадал шкаф, в котором хранились указанные рекламные материалы.  Документы пришли в ненадлежащее состояние, после чего обществом были уничтожены.  Специалист, ответственный за сохранность рекламных материалов, в ООО РИА «МартПлюс» отсутствует.  Также отсутствует база контрагентов.</w:t>
      </w:r>
    </w:p>
    <w:p w:rsidR="0010152D" w:rsidRPr="00E27618" w:rsidRDefault="0010152D" w:rsidP="0010152D">
      <w:pPr>
        <w:tabs>
          <w:tab w:val="left" w:pos="5245"/>
        </w:tabs>
        <w:ind w:firstLine="709"/>
        <w:jc w:val="both"/>
        <w:rPr>
          <w:szCs w:val="28"/>
        </w:rPr>
      </w:pPr>
      <w:r w:rsidRPr="00E27618">
        <w:rPr>
          <w:szCs w:val="28"/>
        </w:rPr>
        <w:t xml:space="preserve">Согласно </w:t>
      </w:r>
      <w:r w:rsidRPr="00E27618">
        <w:rPr>
          <w:szCs w:val="28"/>
          <w:u w:val="single"/>
        </w:rPr>
        <w:t>ст. 12</w:t>
      </w:r>
      <w:r w:rsidRPr="00E27618">
        <w:rPr>
          <w:szCs w:val="28"/>
        </w:rPr>
        <w:t xml:space="preserve"> Федерального закона «О рекламе» 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10152D" w:rsidRPr="00E27618" w:rsidRDefault="0010152D" w:rsidP="0010152D">
      <w:pPr>
        <w:tabs>
          <w:tab w:val="left" w:pos="5245"/>
        </w:tabs>
        <w:ind w:firstLine="709"/>
        <w:jc w:val="both"/>
        <w:rPr>
          <w:szCs w:val="28"/>
        </w:rPr>
      </w:pPr>
      <w:r w:rsidRPr="00E27618">
        <w:rPr>
          <w:szCs w:val="28"/>
        </w:rPr>
        <w:t>Решением Ульяновского УФАС России от 24.12.2019 действия ООО РИА «МартПлюс», выразившиеся в неисполнении обязанности по хранению рекламных материалов, признаны нарушением ст. 12 Федерального «О рекламе».</w:t>
      </w:r>
    </w:p>
    <w:p w:rsidR="0010152D" w:rsidRPr="00E27618" w:rsidRDefault="0010152D" w:rsidP="0010152D">
      <w:pPr>
        <w:pStyle w:val="a3"/>
        <w:tabs>
          <w:tab w:val="left" w:pos="5245"/>
        </w:tabs>
        <w:spacing w:before="240"/>
        <w:ind w:left="0" w:firstLine="709"/>
        <w:jc w:val="both"/>
        <w:rPr>
          <w:szCs w:val="28"/>
          <w:lang w:bidi="ru-RU"/>
        </w:rPr>
      </w:pPr>
      <w:r w:rsidRPr="00E27618">
        <w:rPr>
          <w:szCs w:val="28"/>
          <w:lang w:bidi="ru-RU"/>
        </w:rPr>
        <w:t xml:space="preserve">Интерес представляет также практика рассмотрения Ульяновским УФАС России дел по </w:t>
      </w:r>
      <w:r w:rsidRPr="00E27618">
        <w:rPr>
          <w:szCs w:val="28"/>
        </w:rPr>
        <w:t xml:space="preserve">ч. 11 ст. 5 Федерального закона «О рекламе», согласно которой </w:t>
      </w:r>
      <w:r w:rsidRPr="00E27618">
        <w:rPr>
          <w:rStyle w:val="blk"/>
          <w:szCs w:val="28"/>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  Некоторые решения управления по данным делам прошли обжалование в арбитражном суде:</w:t>
      </w:r>
    </w:p>
    <w:p w:rsidR="0010152D" w:rsidRPr="00E27618" w:rsidRDefault="0010152D" w:rsidP="0010152D">
      <w:pPr>
        <w:pStyle w:val="a3"/>
        <w:tabs>
          <w:tab w:val="left" w:pos="5245"/>
        </w:tabs>
        <w:spacing w:before="120"/>
        <w:ind w:left="0" w:firstLine="709"/>
        <w:jc w:val="both"/>
        <w:rPr>
          <w:szCs w:val="28"/>
        </w:rPr>
      </w:pPr>
      <w:r w:rsidRPr="00E27618">
        <w:rPr>
          <w:b/>
          <w:szCs w:val="28"/>
        </w:rPr>
        <w:t>1.</w:t>
      </w:r>
      <w:r w:rsidRPr="00E27618">
        <w:rPr>
          <w:szCs w:val="28"/>
        </w:rPr>
        <w:t xml:space="preserve"> По результатам рассмотрения дела № 15073/05-2018 решением Ульяновского УФАС России от 12.11.2018 реклама </w:t>
      </w:r>
      <w:r w:rsidRPr="00E27618">
        <w:rPr>
          <w:szCs w:val="28"/>
          <w:lang w:bidi="ru-RU"/>
        </w:rPr>
        <w:t>«Дом.</w:t>
      </w:r>
      <w:r w:rsidRPr="00E27618">
        <w:rPr>
          <w:szCs w:val="28"/>
          <w:lang w:val="en-US"/>
        </w:rPr>
        <w:t>ru</w:t>
      </w:r>
      <w:r w:rsidRPr="00E27618">
        <w:rPr>
          <w:szCs w:val="28"/>
          <w:lang w:bidi="ru-RU"/>
        </w:rPr>
        <w:t>» АО «Эр-Телеком Холдинг»: «</w:t>
      </w:r>
      <w:r w:rsidRPr="00E27618">
        <w:rPr>
          <w:i/>
          <w:szCs w:val="28"/>
          <w:lang w:bidi="ru-RU"/>
        </w:rPr>
        <w:t>Цена - космос! Интернет и ТВ 399 р/мес. 100 Мбит / 152 канала</w:t>
      </w:r>
      <w:r w:rsidRPr="00E27618">
        <w:rPr>
          <w:szCs w:val="28"/>
          <w:lang w:bidi="ru-RU"/>
        </w:rPr>
        <w:t xml:space="preserve">». </w:t>
      </w:r>
      <w:r w:rsidRPr="00E27618">
        <w:rPr>
          <w:i/>
          <w:szCs w:val="28"/>
          <w:lang w:bidi="ru-RU"/>
        </w:rPr>
        <w:t>Подключение: 8-902-120-93-98</w:t>
      </w:r>
      <w:r w:rsidRPr="00E27618">
        <w:rPr>
          <w:szCs w:val="28"/>
          <w:lang w:bidi="ru-RU"/>
        </w:rPr>
        <w:t>»</w:t>
      </w:r>
      <w:r w:rsidRPr="00E27618">
        <w:rPr>
          <w:szCs w:val="28"/>
        </w:rPr>
        <w:t xml:space="preserve">, распространенная в июле 2018 года путём расклейки листовок на стенах подъездов многоквартирного дома, расположенного </w:t>
      </w:r>
      <w:r w:rsidRPr="00E27618">
        <w:rPr>
          <w:iCs/>
          <w:szCs w:val="28"/>
        </w:rPr>
        <w:t>по адресу: г. Ульяновск, ул. Розы Люксембург, д. 36А</w:t>
      </w:r>
      <w:r w:rsidRPr="00E27618">
        <w:rPr>
          <w:szCs w:val="28"/>
        </w:rPr>
        <w:t xml:space="preserve">, </w:t>
      </w:r>
      <w:r w:rsidRPr="00E27618">
        <w:rPr>
          <w:szCs w:val="28"/>
        </w:rPr>
        <w:lastRenderedPageBreak/>
        <w:t>признана ненадлежащей, поскольку в ней нарушены требования ч. 11 ст. 5 Федерального закона «О рекламе».</w:t>
      </w:r>
    </w:p>
    <w:p w:rsidR="0010152D" w:rsidRPr="00E27618" w:rsidRDefault="0010152D" w:rsidP="0010152D">
      <w:pPr>
        <w:tabs>
          <w:tab w:val="left" w:pos="5245"/>
        </w:tabs>
        <w:ind w:firstLine="709"/>
        <w:jc w:val="both"/>
        <w:rPr>
          <w:szCs w:val="28"/>
          <w:lang w:bidi="ru-RU"/>
        </w:rPr>
      </w:pPr>
      <w:r w:rsidRPr="00E27618">
        <w:rPr>
          <w:szCs w:val="28"/>
          <w:lang w:bidi="ru-RU"/>
        </w:rPr>
        <w:t>В соответствии с ч. 4 ст. 36 Жилищного кодекса Российской Федерации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0152D" w:rsidRPr="00E27618" w:rsidRDefault="0010152D" w:rsidP="0010152D">
      <w:pPr>
        <w:tabs>
          <w:tab w:val="left" w:pos="5245"/>
        </w:tabs>
        <w:ind w:firstLine="709"/>
        <w:jc w:val="both"/>
        <w:rPr>
          <w:szCs w:val="28"/>
          <w:lang w:bidi="ru-RU"/>
        </w:rPr>
      </w:pPr>
      <w:r w:rsidRPr="00E27618">
        <w:rPr>
          <w:szCs w:val="28"/>
          <w:lang w:bidi="ru-RU"/>
        </w:rPr>
        <w:t>Согласно п. 1 ч. 1 ст. 36 ЖК РФ собственникам помещений в многоквартирном доме принадлежит на праве общей долевой собственности общее имущество в многоквартирном доме, в частности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0152D" w:rsidRPr="00E27618" w:rsidRDefault="0010152D" w:rsidP="0010152D">
      <w:pPr>
        <w:tabs>
          <w:tab w:val="left" w:pos="5245"/>
        </w:tabs>
        <w:ind w:firstLine="709"/>
        <w:jc w:val="both"/>
        <w:rPr>
          <w:szCs w:val="28"/>
          <w:lang w:bidi="ru-RU"/>
        </w:rPr>
      </w:pPr>
      <w:r w:rsidRPr="00E27618">
        <w:rPr>
          <w:szCs w:val="28"/>
          <w:lang w:bidi="ru-RU"/>
        </w:rPr>
        <w:t>Рассматриваемая реклама размещена и распространялась с нарушением приведенных норм законодательства Российской Федерации, то есть противоречит ч. 11 ст. 5 Федерального закона «О рекламе».</w:t>
      </w:r>
    </w:p>
    <w:p w:rsidR="0010152D" w:rsidRPr="00E27618" w:rsidRDefault="0010152D" w:rsidP="0010152D">
      <w:pPr>
        <w:tabs>
          <w:tab w:val="left" w:pos="5245"/>
        </w:tabs>
        <w:ind w:firstLine="709"/>
        <w:jc w:val="both"/>
        <w:rPr>
          <w:szCs w:val="28"/>
          <w:lang w:bidi="ru-RU"/>
        </w:rPr>
      </w:pPr>
      <w:r w:rsidRPr="00E27618">
        <w:rPr>
          <w:szCs w:val="28"/>
        </w:rPr>
        <w:t>Согласно письму Федеральной антимонопольной службы от 16.12.2014 № АК/51980/14 «О размещении рекламы внутри зданий» при размещении рекламы (а не рекламной конструкции) на общем имуществе дома необходимо получение согласия собственников помещений.  В случае несогласия собственника имущества с размещением рекламы третьими лицами он вправе запретить такое использование имущества либо устранить рекламу с соответствующей поверхности за счет разместившего ее лица или самостоятельно с последующим взысканием расходов.</w:t>
      </w:r>
    </w:p>
    <w:p w:rsidR="0010152D" w:rsidRPr="00E27618" w:rsidRDefault="0010152D" w:rsidP="0010152D">
      <w:pPr>
        <w:pStyle w:val="a3"/>
        <w:tabs>
          <w:tab w:val="left" w:pos="5245"/>
        </w:tabs>
        <w:ind w:left="0" w:firstLine="709"/>
        <w:jc w:val="both"/>
        <w:rPr>
          <w:szCs w:val="28"/>
          <w:lang w:bidi="ru-RU"/>
        </w:rPr>
      </w:pPr>
      <w:r w:rsidRPr="00E27618">
        <w:rPr>
          <w:szCs w:val="28"/>
        </w:rPr>
        <w:t xml:space="preserve">При этом, в ходе рассмотрения дела не было установлено лицо, фактически расклеивавшее рекламу.  </w:t>
      </w:r>
      <w:r w:rsidRPr="00E27618">
        <w:rPr>
          <w:szCs w:val="28"/>
          <w:lang w:bidi="ru-RU"/>
        </w:rPr>
        <w:t xml:space="preserve">АО «Эр-Телеком Холдинг» выдано предписание, </w:t>
      </w:r>
      <w:r w:rsidRPr="00E27618">
        <w:rPr>
          <w:szCs w:val="28"/>
        </w:rPr>
        <w:t>согласно которому общество было обязано совершить действия, направленные на прекращение нарушения требований ч. 11 ст. 5 Федерального закона «О рекламе», а именно, проинформировать лиц, осуществляющих распространение рекламных материалов общества на территории Ульяновской области, о недопустимости их расклейки на общем имуществе многоквартирных домов (вне мест, специально предназначенных для размещения рекламных объявлений).</w:t>
      </w:r>
    </w:p>
    <w:p w:rsidR="0010152D" w:rsidRPr="00E27618" w:rsidRDefault="0010152D" w:rsidP="0010152D">
      <w:pPr>
        <w:pStyle w:val="a3"/>
        <w:tabs>
          <w:tab w:val="left" w:pos="5245"/>
        </w:tabs>
        <w:ind w:left="0" w:firstLine="709"/>
        <w:jc w:val="both"/>
        <w:rPr>
          <w:szCs w:val="28"/>
          <w:lang w:bidi="ru-RU"/>
        </w:rPr>
      </w:pPr>
      <w:r w:rsidRPr="00E27618">
        <w:rPr>
          <w:szCs w:val="28"/>
          <w:lang w:bidi="ru-RU"/>
        </w:rPr>
        <w:t>Несмотря на исполнение предписания, АО «Эр-Телеком Холдинг» обжаловало решение и предписание Ульяновского УФАС России в арбитражном суде.</w:t>
      </w:r>
    </w:p>
    <w:p w:rsidR="0010152D" w:rsidRPr="00E27618" w:rsidRDefault="0010152D" w:rsidP="0010152D">
      <w:pPr>
        <w:pStyle w:val="a3"/>
        <w:tabs>
          <w:tab w:val="left" w:pos="5245"/>
        </w:tabs>
        <w:ind w:left="0" w:firstLine="709"/>
        <w:jc w:val="both"/>
        <w:rPr>
          <w:szCs w:val="28"/>
          <w:lang w:bidi="ru-RU"/>
        </w:rPr>
      </w:pPr>
      <w:r w:rsidRPr="00E27618">
        <w:rPr>
          <w:szCs w:val="28"/>
          <w:lang w:bidi="ru-RU"/>
        </w:rPr>
        <w:t>Суды поддержали позицию антимонопольного органа, дело № А72-1930/2019 -рассматривалось в трех инстанциях.</w:t>
      </w:r>
    </w:p>
    <w:p w:rsidR="0010152D" w:rsidRPr="00E27618" w:rsidRDefault="0010152D" w:rsidP="0010152D">
      <w:pPr>
        <w:pStyle w:val="a3"/>
        <w:tabs>
          <w:tab w:val="left" w:pos="5245"/>
        </w:tabs>
        <w:ind w:left="0" w:firstLine="709"/>
        <w:jc w:val="both"/>
        <w:rPr>
          <w:szCs w:val="28"/>
          <w:lang w:bidi="ru-RU"/>
        </w:rPr>
      </w:pPr>
      <w:r w:rsidRPr="00E27618">
        <w:rPr>
          <w:szCs w:val="28"/>
          <w:lang w:bidi="ru-RU"/>
        </w:rPr>
        <w:lastRenderedPageBreak/>
        <w:t>В частности, АО «Эр-Телеком Холдинг» не согласилось с выводом управления о том, что общество является рекламодателем, поскольку никому не давало полномочий на расклейку рекламы, в том числе физическому лицу, чей номер телефона указан в рекламе: «</w:t>
      </w:r>
      <w:r w:rsidRPr="00E27618">
        <w:rPr>
          <w:i/>
          <w:szCs w:val="28"/>
          <w:lang w:bidi="ru-RU"/>
        </w:rPr>
        <w:t>Цена - космос! Интернет и ТВ 399 р/мес. 100 Мбит / 152 канала</w:t>
      </w:r>
      <w:r w:rsidRPr="00E27618">
        <w:rPr>
          <w:szCs w:val="28"/>
          <w:lang w:bidi="ru-RU"/>
        </w:rPr>
        <w:t xml:space="preserve">». </w:t>
      </w:r>
      <w:r w:rsidRPr="00E27618">
        <w:rPr>
          <w:i/>
          <w:szCs w:val="28"/>
          <w:lang w:bidi="ru-RU"/>
        </w:rPr>
        <w:t>Подключение: 8-902-120-93-98</w:t>
      </w:r>
      <w:r w:rsidRPr="00E27618">
        <w:rPr>
          <w:szCs w:val="28"/>
          <w:lang w:bidi="ru-RU"/>
        </w:rPr>
        <w:t>».</w:t>
      </w:r>
    </w:p>
    <w:p w:rsidR="0010152D" w:rsidRPr="00E27618" w:rsidRDefault="0010152D" w:rsidP="0010152D">
      <w:pPr>
        <w:pStyle w:val="a3"/>
        <w:tabs>
          <w:tab w:val="left" w:pos="5245"/>
        </w:tabs>
        <w:ind w:left="0" w:firstLine="709"/>
        <w:jc w:val="both"/>
        <w:rPr>
          <w:szCs w:val="28"/>
          <w:lang w:bidi="ru-RU"/>
        </w:rPr>
      </w:pPr>
      <w:r w:rsidRPr="00E27618">
        <w:rPr>
          <w:szCs w:val="28"/>
          <w:lang w:bidi="ru-RU"/>
        </w:rPr>
        <w:t>Суды указали, что согласно положениям ст. 3 Федерального закона «О рекламе» реклама имеет побудительный характер, то есть стимулирует интерес потребителей к объекту рекламирования в целях продвижения товаров и услуг на рынке.  Содержание листовок является рекламой услуг АО «Эр-Телеком Холдинг», которая адресована неопределенному кругу лиц.  АО «Эр-Телеком Холдинг» в данном случае имеет прямой коммерческий интерес.  Размещение рекламы в местах общего пользования распространителями рекламы направлено на увеличение количества абонентов общества, а в последующем - на увеличение прибыли.</w:t>
      </w:r>
    </w:p>
    <w:p w:rsidR="0010152D" w:rsidRPr="00E27618" w:rsidRDefault="0010152D" w:rsidP="0010152D">
      <w:pPr>
        <w:pStyle w:val="a3"/>
        <w:tabs>
          <w:tab w:val="left" w:pos="5245"/>
        </w:tabs>
        <w:ind w:left="0" w:firstLine="709"/>
        <w:jc w:val="both"/>
        <w:rPr>
          <w:szCs w:val="28"/>
          <w:lang w:bidi="ru-RU"/>
        </w:rPr>
      </w:pPr>
      <w:r w:rsidRPr="00E27618">
        <w:rPr>
          <w:szCs w:val="28"/>
          <w:lang w:bidi="ru-RU"/>
        </w:rPr>
        <w:t>Довод АО «Эр-Телеком Холдинг» о том, что расклейка листовок, как способ распространения рекламы без использования рекламных конструкций, не находится в сфере регулирования законодательства Российской Федерации о рекламе, судами отклонен со ссылкой на п. 1 ст. 3 Федерального закона «О рекламе» и письмо ФАС России от 16.12.2014 № АК/51980/14 «О размещении рекламы внутри зданий».</w:t>
      </w:r>
    </w:p>
    <w:p w:rsidR="0010152D" w:rsidRPr="00E27618" w:rsidRDefault="0010152D" w:rsidP="0010152D">
      <w:pPr>
        <w:pStyle w:val="a3"/>
        <w:tabs>
          <w:tab w:val="left" w:pos="5245"/>
        </w:tabs>
        <w:ind w:left="0" w:firstLine="709"/>
        <w:jc w:val="both"/>
        <w:rPr>
          <w:szCs w:val="28"/>
          <w:lang w:bidi="ru-RU"/>
        </w:rPr>
      </w:pPr>
      <w:r w:rsidRPr="00E27618">
        <w:rPr>
          <w:szCs w:val="28"/>
          <w:lang w:bidi="ru-RU"/>
        </w:rPr>
        <w:t>Суды согласились, что оспариваемое решение и предписание направлены на предупреждение дальнейшего нарушения законодательства Российской Федерации о рекламе субъектом рекламного рынка, на недопустимость распространения рекламы рассмотренным способом, который вызывает у жильцов МКД негативное отношение и противоречит приведенным нормам.</w:t>
      </w:r>
    </w:p>
    <w:p w:rsidR="0010152D" w:rsidRPr="00E27618" w:rsidRDefault="0010152D" w:rsidP="0010152D">
      <w:pPr>
        <w:pStyle w:val="a3"/>
        <w:tabs>
          <w:tab w:val="left" w:pos="5245"/>
        </w:tabs>
        <w:spacing w:before="120"/>
        <w:ind w:left="0" w:firstLine="709"/>
        <w:jc w:val="both"/>
        <w:rPr>
          <w:iCs/>
          <w:szCs w:val="28"/>
          <w:lang w:bidi="ru-RU"/>
        </w:rPr>
      </w:pPr>
      <w:r w:rsidRPr="00E27618">
        <w:rPr>
          <w:b/>
          <w:iCs/>
          <w:szCs w:val="28"/>
          <w:lang w:bidi="ru-RU"/>
        </w:rPr>
        <w:t>2.</w:t>
      </w:r>
      <w:r w:rsidRPr="00E27618">
        <w:rPr>
          <w:iCs/>
          <w:szCs w:val="28"/>
          <w:lang w:bidi="ru-RU"/>
        </w:rPr>
        <w:t xml:space="preserve"> Решением Арбитражного суда Ульяновской области от 10.12.2018 (вступило в законную силу 11.01.2019) по делу № А72-16610/2018 оставлено в силе решение Ульяновского УФАС России по делу № 14813/05-2018 о признании рекламы ПАО «Ростелеком»: «</w:t>
      </w:r>
      <w:r w:rsidRPr="00E27618">
        <w:rPr>
          <w:i/>
          <w:iCs/>
          <w:szCs w:val="28"/>
          <w:lang w:bidi="ru-RU"/>
        </w:rPr>
        <w:t>Дома станет интереснее</w:t>
      </w:r>
      <w:r w:rsidRPr="00E27618">
        <w:rPr>
          <w:iCs/>
          <w:szCs w:val="28"/>
          <w:lang w:bidi="ru-RU"/>
        </w:rPr>
        <w:t>», «</w:t>
      </w:r>
      <w:r w:rsidRPr="00E27618">
        <w:rPr>
          <w:i/>
          <w:iCs/>
          <w:szCs w:val="28"/>
          <w:lang w:bidi="ru-RU"/>
        </w:rPr>
        <w:t>Хорошую цену лучше зафиксировать</w:t>
      </w:r>
      <w:r w:rsidRPr="00E27618">
        <w:rPr>
          <w:iCs/>
          <w:szCs w:val="28"/>
          <w:lang w:bidi="ru-RU"/>
        </w:rPr>
        <w:t>!», распространённой в феврале 2018 года путем расклейки на стенах подъездов многоквартирных домов, расположенных в г. Димитровграде Ульяновской области по адресам: пр-т Ленина, д. 14 и д. 14В, ненадлежащей, нарушающей требования ч. 11 ст. 5 Федерального «О рекламе».</w:t>
      </w:r>
    </w:p>
    <w:p w:rsidR="0010152D" w:rsidRPr="00E27618" w:rsidRDefault="0010152D" w:rsidP="0010152D">
      <w:pPr>
        <w:pStyle w:val="a3"/>
        <w:tabs>
          <w:tab w:val="left" w:pos="5245"/>
        </w:tabs>
        <w:ind w:left="0" w:firstLine="709"/>
        <w:jc w:val="both"/>
        <w:rPr>
          <w:szCs w:val="28"/>
        </w:rPr>
      </w:pPr>
      <w:r w:rsidRPr="00E27618">
        <w:rPr>
          <w:iCs/>
          <w:szCs w:val="28"/>
          <w:lang w:bidi="ru-RU"/>
        </w:rPr>
        <w:t xml:space="preserve">ПАО «Ростелеком» не согласилось с выводом управления о том, что общество является рекламодателем, поскольку не давало агенту полномочий на расклейку рекламы.  Агент </w:t>
      </w:r>
      <w:r w:rsidRPr="00E27618">
        <w:rPr>
          <w:szCs w:val="28"/>
        </w:rPr>
        <w:t>должен был в рамках агентского договора осуществлять поиск потенциальных абонентов для ПАО «Ростелеком», размещать и контролировать актуальность информационных материалов в объектах жилой недвижимости, вкладывать рекламные листовки в почтовые ящики, информировать потенциальных клиентов по телефону по спискам, предоставленным обществом, об услугах, тарифных планах оператора.</w:t>
      </w:r>
    </w:p>
    <w:p w:rsidR="0010152D" w:rsidRPr="00E27618" w:rsidRDefault="0010152D" w:rsidP="0010152D">
      <w:pPr>
        <w:pStyle w:val="a3"/>
        <w:tabs>
          <w:tab w:val="left" w:pos="5245"/>
        </w:tabs>
        <w:ind w:left="0" w:firstLine="709"/>
        <w:jc w:val="both"/>
        <w:rPr>
          <w:iCs/>
          <w:szCs w:val="28"/>
          <w:lang w:bidi="ru-RU"/>
        </w:rPr>
      </w:pPr>
      <w:r w:rsidRPr="00E27618">
        <w:rPr>
          <w:szCs w:val="28"/>
        </w:rPr>
        <w:lastRenderedPageBreak/>
        <w:t>Суд указал, что в силу ч. 1 ст. 1005 ГК РФ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По сделке, совершенной агентом с третьим лицом от имени и за счет принципала, права и обязанности возникают непосредственно у принципала.</w:t>
      </w:r>
    </w:p>
    <w:p w:rsidR="0010152D" w:rsidRPr="00E27618" w:rsidRDefault="0010152D" w:rsidP="0010152D">
      <w:pPr>
        <w:pStyle w:val="a3"/>
        <w:tabs>
          <w:tab w:val="left" w:pos="5245"/>
        </w:tabs>
        <w:ind w:left="0" w:firstLine="709"/>
        <w:jc w:val="both"/>
        <w:rPr>
          <w:szCs w:val="28"/>
        </w:rPr>
      </w:pPr>
      <w:r w:rsidRPr="00E27618">
        <w:rPr>
          <w:iCs/>
          <w:szCs w:val="28"/>
          <w:lang w:bidi="ru-RU"/>
        </w:rPr>
        <w:t xml:space="preserve">Таким образом, </w:t>
      </w:r>
      <w:r w:rsidRPr="00E27618">
        <w:rPr>
          <w:szCs w:val="28"/>
        </w:rPr>
        <w:t>рекламораспространителем в данном случае является агент, а рекламодателем спорной рекламы - ПАО «Ростелеком».</w:t>
      </w:r>
    </w:p>
    <w:p w:rsidR="0010152D" w:rsidRPr="00E27618" w:rsidRDefault="0010152D" w:rsidP="0010152D">
      <w:pPr>
        <w:pStyle w:val="a3"/>
        <w:tabs>
          <w:tab w:val="left" w:pos="5245"/>
        </w:tabs>
        <w:spacing w:before="120"/>
        <w:ind w:left="0" w:firstLine="709"/>
        <w:jc w:val="both"/>
        <w:rPr>
          <w:iCs/>
          <w:szCs w:val="28"/>
          <w:lang w:bidi="ru-RU"/>
        </w:rPr>
      </w:pPr>
      <w:r w:rsidRPr="00E27618">
        <w:rPr>
          <w:b/>
          <w:iCs/>
          <w:szCs w:val="28"/>
          <w:lang w:bidi="ru-RU"/>
        </w:rPr>
        <w:t>3.</w:t>
      </w:r>
      <w:r w:rsidRPr="00E27618">
        <w:rPr>
          <w:iCs/>
          <w:szCs w:val="28"/>
          <w:lang w:bidi="ru-RU"/>
        </w:rPr>
        <w:t xml:space="preserve"> Ульяновское УФАС России решением от </w:t>
      </w:r>
      <w:r w:rsidRPr="00E27618">
        <w:rPr>
          <w:szCs w:val="28"/>
        </w:rPr>
        <w:t xml:space="preserve">28.08.2019 </w:t>
      </w:r>
      <w:r w:rsidRPr="00E27618">
        <w:rPr>
          <w:iCs/>
          <w:szCs w:val="28"/>
          <w:lang w:bidi="ru-RU"/>
        </w:rPr>
        <w:t>по делу № 073/05/5-15870/2019 признало ненадлежащей рекламу: «</w:t>
      </w:r>
      <w:r w:rsidRPr="00E27618">
        <w:rPr>
          <w:i/>
          <w:iCs/>
          <w:szCs w:val="28"/>
          <w:lang w:bidi="ru-RU"/>
        </w:rPr>
        <w:t>Законно спишем кредиты и долги 753-733»</w:t>
      </w:r>
      <w:r w:rsidRPr="00E27618">
        <w:rPr>
          <w:iCs/>
          <w:szCs w:val="28"/>
          <w:lang w:bidi="ru-RU"/>
        </w:rPr>
        <w:t>», распространённую в августе 2019 года путем нанесения краской надписей на пешеходные дорожки (в районе пешеходных переходов, остановочных пунктов и т.п.) г. Ульяновска, поскольку в ней нарушены требования ч. 11 ст. 5 Федерального закона «О рекламе».  Предписание не выдавалось в связи с добровольным устранением нарушения.</w:t>
      </w:r>
    </w:p>
    <w:p w:rsidR="0010152D" w:rsidRPr="00E27618" w:rsidRDefault="0010152D" w:rsidP="0010152D">
      <w:pPr>
        <w:pStyle w:val="a3"/>
        <w:tabs>
          <w:tab w:val="left" w:pos="5245"/>
        </w:tabs>
        <w:ind w:left="0" w:firstLine="709"/>
        <w:jc w:val="both"/>
        <w:rPr>
          <w:iCs/>
          <w:szCs w:val="28"/>
          <w:lang w:bidi="ru-RU"/>
        </w:rPr>
      </w:pPr>
      <w:r w:rsidRPr="00E27618">
        <w:rPr>
          <w:iCs/>
          <w:szCs w:val="28"/>
          <w:lang w:bidi="ru-RU"/>
        </w:rPr>
        <w:t>В Ульяновское УФАС России поступило заявление физического лица, перенаправленное Прокуратурой Ульяновской области, о рекламных надписях на тротуарах, пешеходных дорожках улиц г. Ульяновска, которые не только портят облик города, но и могут быть восприняты как информационные знаки.</w:t>
      </w:r>
    </w:p>
    <w:p w:rsidR="0010152D" w:rsidRPr="00E27618" w:rsidRDefault="0010152D" w:rsidP="0010152D">
      <w:pPr>
        <w:pStyle w:val="a3"/>
        <w:tabs>
          <w:tab w:val="left" w:pos="5245"/>
        </w:tabs>
        <w:ind w:left="0" w:firstLine="709"/>
        <w:jc w:val="both"/>
        <w:rPr>
          <w:iCs/>
          <w:szCs w:val="28"/>
          <w:lang w:bidi="ru-RU"/>
        </w:rPr>
      </w:pPr>
      <w:r w:rsidRPr="00E27618">
        <w:rPr>
          <w:iCs/>
          <w:szCs w:val="28"/>
          <w:lang w:bidi="ru-RU"/>
        </w:rPr>
        <w:t>Согласно ч. 1 ст. 10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10152D" w:rsidRPr="00E27618" w:rsidRDefault="0010152D" w:rsidP="0010152D">
      <w:pPr>
        <w:pStyle w:val="a3"/>
        <w:tabs>
          <w:tab w:val="left" w:pos="5245"/>
        </w:tabs>
        <w:ind w:left="0" w:firstLine="709"/>
        <w:jc w:val="both"/>
        <w:rPr>
          <w:iCs/>
          <w:szCs w:val="28"/>
          <w:lang w:bidi="ru-RU"/>
        </w:rPr>
      </w:pPr>
      <w:r w:rsidRPr="00E27618">
        <w:rPr>
          <w:iCs/>
          <w:szCs w:val="28"/>
          <w:lang w:bidi="ru-RU"/>
        </w:rPr>
        <w:t>В соответствии с п.п. 1 и 5 ст. 3 Федерального закона от 08.11.2017 № 217-ФЗ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тротуары относятся к автомобильным дорогам.</w:t>
      </w:r>
    </w:p>
    <w:p w:rsidR="0010152D" w:rsidRPr="00E27618" w:rsidRDefault="0010152D" w:rsidP="0010152D">
      <w:pPr>
        <w:pStyle w:val="a3"/>
        <w:tabs>
          <w:tab w:val="left" w:pos="5245"/>
        </w:tabs>
        <w:ind w:left="0" w:firstLine="709"/>
        <w:jc w:val="both"/>
        <w:rPr>
          <w:iCs/>
          <w:szCs w:val="28"/>
          <w:lang w:bidi="ru-RU"/>
        </w:rPr>
      </w:pPr>
      <w:r w:rsidRPr="00E27618">
        <w:rPr>
          <w:iCs/>
          <w:szCs w:val="28"/>
          <w:lang w:bidi="ru-RU"/>
        </w:rPr>
        <w:t>Согласно п. 6.9 ГОСТ Р 52044-2013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не допускается размещение рекламы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10152D" w:rsidRPr="00E27618" w:rsidRDefault="0010152D" w:rsidP="0010152D">
      <w:pPr>
        <w:pStyle w:val="a3"/>
        <w:tabs>
          <w:tab w:val="left" w:pos="5245"/>
        </w:tabs>
        <w:ind w:left="0" w:firstLine="709"/>
        <w:jc w:val="both"/>
        <w:rPr>
          <w:iCs/>
          <w:szCs w:val="28"/>
          <w:lang w:bidi="ru-RU"/>
        </w:rPr>
      </w:pPr>
      <w:r w:rsidRPr="00E27618">
        <w:rPr>
          <w:iCs/>
          <w:szCs w:val="28"/>
          <w:lang w:bidi="ru-RU"/>
        </w:rPr>
        <w:t>Таким образом, при размещении и распространении рекламы не было соблюдено законодательство о дорожной деятельности и, как следствие, реклама нарушает ч. 11 ст. 5 Федерального закона «О рекламе».</w:t>
      </w:r>
    </w:p>
    <w:p w:rsidR="0010152D" w:rsidRPr="00E27618" w:rsidRDefault="0010152D" w:rsidP="0010152D">
      <w:pPr>
        <w:tabs>
          <w:tab w:val="left" w:pos="5245"/>
        </w:tabs>
        <w:ind w:firstLine="709"/>
        <w:jc w:val="both"/>
        <w:rPr>
          <w:rFonts w:eastAsia="Calibri"/>
          <w:szCs w:val="28"/>
        </w:rPr>
      </w:pPr>
    </w:p>
    <w:p w:rsidR="0010152D" w:rsidRDefault="0010152D" w:rsidP="0010152D">
      <w:pPr>
        <w:tabs>
          <w:tab w:val="left" w:pos="5245"/>
        </w:tabs>
        <w:ind w:firstLine="709"/>
        <w:jc w:val="both"/>
        <w:rPr>
          <w:rFonts w:eastAsia="Calibri"/>
          <w:szCs w:val="28"/>
        </w:rPr>
      </w:pPr>
      <w:r w:rsidRPr="00E27618">
        <w:rPr>
          <w:rFonts w:eastAsia="Calibri"/>
          <w:szCs w:val="28"/>
        </w:rPr>
        <w:lastRenderedPageBreak/>
        <w:t>Административная ответственность за основные нарушения законодательства о рекламе установлена ст. 14.3 КоАП РФ, согласно которой:</w:t>
      </w:r>
    </w:p>
    <w:p w:rsidR="0010152D" w:rsidRPr="00E27618" w:rsidRDefault="0010152D" w:rsidP="0010152D">
      <w:pPr>
        <w:tabs>
          <w:tab w:val="left" w:pos="5245"/>
        </w:tabs>
        <w:ind w:firstLine="709"/>
        <w:jc w:val="both"/>
        <w:rPr>
          <w:rFonts w:eastAsia="Calibri"/>
          <w:szCs w:val="28"/>
        </w:rPr>
      </w:pPr>
    </w:p>
    <w:p w:rsidR="0010152D" w:rsidRPr="00E27618" w:rsidRDefault="0010152D" w:rsidP="0010152D">
      <w:pPr>
        <w:shd w:val="clear" w:color="auto" w:fill="FFFFFF"/>
        <w:tabs>
          <w:tab w:val="left" w:pos="5245"/>
        </w:tabs>
        <w:ind w:firstLine="709"/>
        <w:jc w:val="both"/>
        <w:rPr>
          <w:szCs w:val="28"/>
        </w:rPr>
      </w:pPr>
      <w:r w:rsidRPr="00E27618">
        <w:rPr>
          <w:rStyle w:val="blk"/>
          <w:szCs w:val="28"/>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32" w:anchor="dst1667" w:history="1">
        <w:r w:rsidRPr="00E27618">
          <w:rPr>
            <w:rStyle w:val="a7"/>
            <w:szCs w:val="28"/>
          </w:rPr>
          <w:t>частями 2</w:t>
        </w:r>
      </w:hyperlink>
      <w:r w:rsidRPr="00E27618">
        <w:rPr>
          <w:rStyle w:val="blk"/>
          <w:szCs w:val="28"/>
        </w:rPr>
        <w:t> - </w:t>
      </w:r>
      <w:hyperlink r:id="rId33" w:anchor="dst6577" w:history="1">
        <w:r w:rsidRPr="00E27618">
          <w:rPr>
            <w:rStyle w:val="a7"/>
            <w:szCs w:val="28"/>
          </w:rPr>
          <w:t>6</w:t>
        </w:r>
      </w:hyperlink>
      <w:r w:rsidRPr="00E27618">
        <w:rPr>
          <w:rStyle w:val="blk"/>
          <w:szCs w:val="28"/>
        </w:rPr>
        <w:t> настоящей статьи, </w:t>
      </w:r>
      <w:hyperlink r:id="rId34" w:anchor="dst4569" w:history="1">
        <w:r w:rsidRPr="00E27618">
          <w:rPr>
            <w:rStyle w:val="a7"/>
            <w:szCs w:val="28"/>
          </w:rPr>
          <w:t>частью 4 статьи 14.3.1</w:t>
        </w:r>
      </w:hyperlink>
      <w:r w:rsidRPr="00E27618">
        <w:rPr>
          <w:rStyle w:val="blk"/>
          <w:szCs w:val="28"/>
        </w:rPr>
        <w:t>, </w:t>
      </w:r>
      <w:hyperlink r:id="rId35" w:anchor="dst1678" w:history="1">
        <w:r w:rsidRPr="00E27618">
          <w:rPr>
            <w:rStyle w:val="a7"/>
            <w:szCs w:val="28"/>
          </w:rPr>
          <w:t>статьями 14.37</w:t>
        </w:r>
      </w:hyperlink>
      <w:r w:rsidRPr="00E27618">
        <w:rPr>
          <w:rStyle w:val="blk"/>
          <w:szCs w:val="28"/>
        </w:rPr>
        <w:t>, </w:t>
      </w:r>
      <w:hyperlink r:id="rId36" w:anchor="dst1681" w:history="1">
        <w:r w:rsidRPr="00E27618">
          <w:rPr>
            <w:rStyle w:val="a7"/>
            <w:szCs w:val="28"/>
          </w:rPr>
          <w:t>14.38</w:t>
        </w:r>
      </w:hyperlink>
      <w:r w:rsidRPr="00E27618">
        <w:rPr>
          <w:rStyle w:val="blk"/>
          <w:szCs w:val="28"/>
        </w:rPr>
        <w:t>, </w:t>
      </w:r>
      <w:hyperlink r:id="rId37" w:anchor="dst1696" w:history="1">
        <w:r w:rsidRPr="00E27618">
          <w:rPr>
            <w:rStyle w:val="a7"/>
            <w:szCs w:val="28"/>
          </w:rPr>
          <w:t>19.31</w:t>
        </w:r>
      </w:hyperlink>
      <w:r w:rsidRPr="00E27618">
        <w:rPr>
          <w:rStyle w:val="blk"/>
          <w:szCs w:val="28"/>
        </w:rPr>
        <w:t xml:space="preserve"> настоящего Кодекса, </w:t>
      </w:r>
      <w:bookmarkStart w:id="8" w:name="dst1666"/>
      <w:bookmarkEnd w:id="8"/>
      <w:r w:rsidRPr="00E27618">
        <w:rPr>
          <w:rStyle w:val="blk"/>
          <w:szCs w:val="28"/>
        </w:rPr>
        <w:t xml:space="preserve">влечет наложение административного штрафа на граждан в размере </w:t>
      </w:r>
      <w:r w:rsidRPr="00E27618">
        <w:rPr>
          <w:rStyle w:val="blk"/>
          <w:b/>
          <w:szCs w:val="28"/>
        </w:rPr>
        <w:t>от 2 000 до 2 500 рублей</w:t>
      </w:r>
      <w:r w:rsidRPr="00E27618">
        <w:rPr>
          <w:rStyle w:val="blk"/>
          <w:szCs w:val="28"/>
        </w:rPr>
        <w:t xml:space="preserve">; на должностных лиц - </w:t>
      </w:r>
      <w:r w:rsidRPr="00E27618">
        <w:rPr>
          <w:rStyle w:val="blk"/>
          <w:b/>
          <w:szCs w:val="28"/>
        </w:rPr>
        <w:t>от 4 000 до 20 000 рублей</w:t>
      </w:r>
      <w:r w:rsidRPr="00E27618">
        <w:rPr>
          <w:rStyle w:val="blk"/>
          <w:szCs w:val="28"/>
        </w:rPr>
        <w:t xml:space="preserve">; на юридических лиц - </w:t>
      </w:r>
      <w:r w:rsidRPr="00E27618">
        <w:rPr>
          <w:rStyle w:val="blk"/>
          <w:b/>
          <w:szCs w:val="28"/>
        </w:rPr>
        <w:t>от 100 000 до 500 000 рублей</w:t>
      </w:r>
      <w:r w:rsidRPr="00E27618">
        <w:rPr>
          <w:rStyle w:val="blk"/>
          <w:szCs w:val="28"/>
        </w:rPr>
        <w:t>.</w:t>
      </w:r>
    </w:p>
    <w:p w:rsidR="0010152D" w:rsidRPr="00E27618" w:rsidRDefault="0010152D" w:rsidP="0010152D">
      <w:pPr>
        <w:shd w:val="clear" w:color="auto" w:fill="FFFFFF"/>
        <w:tabs>
          <w:tab w:val="left" w:pos="5245"/>
        </w:tabs>
        <w:ind w:firstLine="709"/>
        <w:jc w:val="both"/>
        <w:rPr>
          <w:szCs w:val="28"/>
        </w:rPr>
      </w:pPr>
      <w:bookmarkStart w:id="9" w:name="dst1667"/>
      <w:bookmarkEnd w:id="9"/>
      <w:r w:rsidRPr="00E27618">
        <w:rPr>
          <w:rStyle w:val="blk"/>
          <w:szCs w:val="28"/>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bookmarkStart w:id="10" w:name="dst1668"/>
      <w:bookmarkEnd w:id="10"/>
      <w:r w:rsidRPr="00E27618">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10152D" w:rsidRPr="00E27618" w:rsidRDefault="0010152D" w:rsidP="0010152D">
      <w:pPr>
        <w:shd w:val="clear" w:color="auto" w:fill="FFFFFF"/>
        <w:tabs>
          <w:tab w:val="left" w:pos="5245"/>
        </w:tabs>
        <w:spacing w:line="242" w:lineRule="atLeast"/>
        <w:ind w:firstLine="709"/>
        <w:jc w:val="both"/>
        <w:rPr>
          <w:szCs w:val="28"/>
        </w:rPr>
      </w:pPr>
      <w:bookmarkStart w:id="11" w:name="dst1669"/>
      <w:bookmarkEnd w:id="11"/>
      <w:r w:rsidRPr="00E27618">
        <w:rPr>
          <w:rStyle w:val="blk"/>
          <w:szCs w:val="28"/>
        </w:rPr>
        <w:t>3. Превышение допустимого </w:t>
      </w:r>
      <w:hyperlink r:id="rId38" w:anchor="dst100169" w:history="1">
        <w:r w:rsidRPr="00E27618">
          <w:rPr>
            <w:rStyle w:val="a7"/>
            <w:szCs w:val="28"/>
          </w:rPr>
          <w:t>законодательством</w:t>
        </w:r>
      </w:hyperlink>
      <w:r w:rsidRPr="00E27618">
        <w:rPr>
          <w:rStyle w:val="blk"/>
          <w:szCs w:val="28"/>
        </w:rPr>
        <w:t xml:space="preserve"> о рекламе объема рекламы, распространяемой в периодических печатных изданиях, </w:t>
      </w:r>
      <w:bookmarkStart w:id="12" w:name="dst1670"/>
      <w:bookmarkEnd w:id="12"/>
      <w:r w:rsidRPr="00E27618">
        <w:rPr>
          <w:rStyle w:val="blk"/>
          <w:szCs w:val="28"/>
        </w:rPr>
        <w:t>влечет наложение административного штрафа на должностных лиц в размере от 4 000 до 7 000 рублей; на юридических лиц - от 40 000 до 100 000 рублей.</w:t>
      </w:r>
    </w:p>
    <w:p w:rsidR="0010152D" w:rsidRPr="00E27618" w:rsidRDefault="0010152D" w:rsidP="0010152D">
      <w:pPr>
        <w:shd w:val="clear" w:color="auto" w:fill="FFFFFF"/>
        <w:tabs>
          <w:tab w:val="left" w:pos="5245"/>
        </w:tabs>
        <w:spacing w:line="242" w:lineRule="atLeast"/>
        <w:ind w:firstLine="709"/>
        <w:jc w:val="both"/>
        <w:rPr>
          <w:szCs w:val="28"/>
        </w:rPr>
      </w:pPr>
      <w:bookmarkStart w:id="13" w:name="dst1671"/>
      <w:bookmarkEnd w:id="13"/>
      <w:r w:rsidRPr="00E27618">
        <w:rPr>
          <w:rStyle w:val="blk"/>
          <w:szCs w:val="28"/>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4" w:name="dst1672"/>
      <w:bookmarkEnd w:id="14"/>
      <w:r w:rsidRPr="00E27618">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10152D" w:rsidRPr="00E27618" w:rsidRDefault="0010152D" w:rsidP="0010152D">
      <w:pPr>
        <w:shd w:val="clear" w:color="auto" w:fill="FFFFFF"/>
        <w:tabs>
          <w:tab w:val="left" w:pos="5245"/>
        </w:tabs>
        <w:spacing w:line="242" w:lineRule="atLeast"/>
        <w:ind w:firstLine="709"/>
        <w:jc w:val="both"/>
        <w:rPr>
          <w:szCs w:val="28"/>
        </w:rPr>
      </w:pPr>
      <w:bookmarkStart w:id="15" w:name="dst4378"/>
      <w:bookmarkEnd w:id="15"/>
      <w:r w:rsidRPr="00E27618">
        <w:rPr>
          <w:rStyle w:val="blk"/>
          <w:szCs w:val="28"/>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6" w:name="dst4379"/>
      <w:bookmarkEnd w:id="16"/>
      <w:r w:rsidRPr="00E27618">
        <w:rPr>
          <w:rStyle w:val="blk"/>
          <w:szCs w:val="28"/>
        </w:rPr>
        <w:t xml:space="preserve">влечет наложение административного штрафа на граждан в размере </w:t>
      </w:r>
      <w:r w:rsidRPr="00E27618">
        <w:rPr>
          <w:rStyle w:val="blk"/>
          <w:b/>
          <w:szCs w:val="28"/>
        </w:rPr>
        <w:t>от 2 000 до 2 500 рублей</w:t>
      </w:r>
      <w:r w:rsidRPr="00E27618">
        <w:rPr>
          <w:rStyle w:val="blk"/>
          <w:szCs w:val="28"/>
        </w:rPr>
        <w:t xml:space="preserve">; на должностных лиц - </w:t>
      </w:r>
      <w:r w:rsidRPr="00E27618">
        <w:rPr>
          <w:rStyle w:val="blk"/>
          <w:b/>
          <w:szCs w:val="28"/>
        </w:rPr>
        <w:t>от 10 000 до 20 000 рублей</w:t>
      </w:r>
      <w:r w:rsidRPr="00E27618">
        <w:rPr>
          <w:rStyle w:val="blk"/>
          <w:szCs w:val="28"/>
        </w:rPr>
        <w:t xml:space="preserve">; на юридических лиц - </w:t>
      </w:r>
      <w:r w:rsidRPr="00E27618">
        <w:rPr>
          <w:rStyle w:val="blk"/>
          <w:b/>
          <w:szCs w:val="28"/>
        </w:rPr>
        <w:t>от 200 000 до 500 000 рублей</w:t>
      </w:r>
      <w:r w:rsidRPr="00E27618">
        <w:rPr>
          <w:rStyle w:val="blk"/>
          <w:szCs w:val="28"/>
        </w:rPr>
        <w:t>.</w:t>
      </w:r>
    </w:p>
    <w:p w:rsidR="0010152D" w:rsidRPr="00E27618" w:rsidRDefault="0010152D" w:rsidP="0010152D">
      <w:pPr>
        <w:shd w:val="clear" w:color="auto" w:fill="FFFFFF"/>
        <w:tabs>
          <w:tab w:val="left" w:pos="5245"/>
        </w:tabs>
        <w:spacing w:line="242" w:lineRule="atLeast"/>
        <w:ind w:firstLine="709"/>
        <w:jc w:val="both"/>
        <w:rPr>
          <w:rStyle w:val="blk"/>
          <w:szCs w:val="28"/>
        </w:rPr>
      </w:pPr>
      <w:bookmarkStart w:id="17" w:name="dst6577"/>
      <w:bookmarkEnd w:id="17"/>
      <w:r w:rsidRPr="00E27618">
        <w:rPr>
          <w:rStyle w:val="blk"/>
          <w:szCs w:val="28"/>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w:t>
      </w:r>
      <w:r w:rsidRPr="00E27618">
        <w:rPr>
          <w:rStyle w:val="blk"/>
          <w:szCs w:val="28"/>
        </w:rPr>
        <w:lastRenderedPageBreak/>
        <w:t xml:space="preserve">стоимость кредита (займа) для заемщика и влияющих на нее, </w:t>
      </w:r>
      <w:bookmarkStart w:id="18" w:name="dst6578"/>
      <w:bookmarkEnd w:id="18"/>
      <w:r w:rsidRPr="00E27618">
        <w:rPr>
          <w:rStyle w:val="blk"/>
          <w:szCs w:val="28"/>
        </w:rPr>
        <w:t xml:space="preserve">влечет наложение административного штрафа на должностных лиц в размере </w:t>
      </w:r>
      <w:r w:rsidRPr="00E27618">
        <w:rPr>
          <w:rStyle w:val="blk"/>
          <w:b/>
          <w:szCs w:val="28"/>
        </w:rPr>
        <w:t>от 20 000 до 50 000 рублей</w:t>
      </w:r>
      <w:r w:rsidRPr="00E27618">
        <w:rPr>
          <w:rStyle w:val="blk"/>
          <w:szCs w:val="28"/>
        </w:rPr>
        <w:t xml:space="preserve">; на юридических лиц - </w:t>
      </w:r>
      <w:r w:rsidRPr="00E27618">
        <w:rPr>
          <w:rStyle w:val="blk"/>
          <w:b/>
          <w:szCs w:val="28"/>
        </w:rPr>
        <w:t>от 300 000 до 800 000 рублей</w:t>
      </w:r>
      <w:r w:rsidRPr="00E27618">
        <w:rPr>
          <w:rStyle w:val="blk"/>
          <w:szCs w:val="28"/>
        </w:rPr>
        <w:t>.</w:t>
      </w:r>
    </w:p>
    <w:p w:rsidR="0010152D" w:rsidRPr="00E27618" w:rsidRDefault="0010152D" w:rsidP="0010152D">
      <w:pPr>
        <w:shd w:val="clear" w:color="auto" w:fill="FFFFFF"/>
        <w:tabs>
          <w:tab w:val="left" w:pos="5245"/>
        </w:tabs>
        <w:spacing w:before="120" w:line="242" w:lineRule="atLeast"/>
        <w:ind w:firstLine="709"/>
        <w:jc w:val="both"/>
        <w:rPr>
          <w:rStyle w:val="blk"/>
          <w:szCs w:val="28"/>
        </w:rPr>
      </w:pPr>
      <w:r w:rsidRPr="00E27618">
        <w:rPr>
          <w:rStyle w:val="blk"/>
          <w:szCs w:val="28"/>
        </w:rPr>
        <w:t>Также согласно ч. 4 ст. 14.3.1 КоАП РФ нарушение рекламодателем, рекламопроизводителем или рекламораспространителем запрета </w:t>
      </w:r>
      <w:hyperlink r:id="rId39" w:anchor="dst91" w:history="1">
        <w:r w:rsidRPr="00E27618">
          <w:rPr>
            <w:rStyle w:val="a7"/>
            <w:szCs w:val="28"/>
          </w:rPr>
          <w:t>рекламы</w:t>
        </w:r>
      </w:hyperlink>
      <w:r w:rsidRPr="00E27618">
        <w:rPr>
          <w:rStyle w:val="blk"/>
          <w:szCs w:val="28"/>
        </w:rPr>
        <w:t xml:space="preserve"> табака, табачной продукции, табачных изделий или курительных принадлежностей </w:t>
      </w:r>
      <w:bookmarkStart w:id="19" w:name="dst4570"/>
      <w:bookmarkEnd w:id="19"/>
      <w:r w:rsidRPr="00E27618">
        <w:rPr>
          <w:rStyle w:val="blk"/>
          <w:szCs w:val="28"/>
        </w:rPr>
        <w:t xml:space="preserve">влечет наложение административного штрафа на граждан в размере </w:t>
      </w:r>
      <w:r w:rsidRPr="00E27618">
        <w:rPr>
          <w:rStyle w:val="blk"/>
          <w:b/>
          <w:szCs w:val="28"/>
        </w:rPr>
        <w:t>от 3 000 до 4 000 рублей</w:t>
      </w:r>
      <w:r w:rsidRPr="00E27618">
        <w:rPr>
          <w:rStyle w:val="blk"/>
          <w:szCs w:val="28"/>
        </w:rPr>
        <w:t xml:space="preserve">; на должностных лиц - </w:t>
      </w:r>
      <w:r w:rsidRPr="00E27618">
        <w:rPr>
          <w:rStyle w:val="blk"/>
          <w:b/>
          <w:szCs w:val="28"/>
        </w:rPr>
        <w:t>от 10 000 до 25 000 рублей</w:t>
      </w:r>
      <w:r w:rsidRPr="00E27618">
        <w:rPr>
          <w:rStyle w:val="blk"/>
          <w:szCs w:val="28"/>
        </w:rPr>
        <w:t xml:space="preserve">; на юридических лиц - </w:t>
      </w:r>
      <w:r w:rsidRPr="00E27618">
        <w:rPr>
          <w:rStyle w:val="blk"/>
          <w:b/>
          <w:szCs w:val="28"/>
        </w:rPr>
        <w:t>от 150 000 до 600 000 рублей</w:t>
      </w:r>
      <w:r w:rsidRPr="00E27618">
        <w:rPr>
          <w:rStyle w:val="blk"/>
          <w:szCs w:val="28"/>
        </w:rPr>
        <w:t>.</w:t>
      </w:r>
    </w:p>
    <w:p w:rsidR="0010152D" w:rsidRPr="00E27618" w:rsidRDefault="0010152D" w:rsidP="0010152D">
      <w:pPr>
        <w:shd w:val="clear" w:color="auto" w:fill="FFFFFF"/>
        <w:tabs>
          <w:tab w:val="left" w:pos="5245"/>
        </w:tabs>
        <w:spacing w:before="120" w:line="290" w:lineRule="atLeast"/>
        <w:ind w:firstLine="709"/>
        <w:jc w:val="both"/>
        <w:rPr>
          <w:szCs w:val="28"/>
        </w:rPr>
      </w:pPr>
      <w:r w:rsidRPr="00E27618">
        <w:rPr>
          <w:rStyle w:val="blk"/>
          <w:szCs w:val="28"/>
        </w:rPr>
        <w:t>С</w:t>
      </w:r>
      <w:r w:rsidRPr="00E27618">
        <w:rPr>
          <w:szCs w:val="28"/>
        </w:rPr>
        <w:t>огласно ч. 1 ст.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40" w:anchor="dst100173" w:history="1">
        <w:r w:rsidRPr="00E27618">
          <w:rPr>
            <w:rStyle w:val="a7"/>
            <w:szCs w:val="28"/>
          </w:rPr>
          <w:t>раздела II</w:t>
        </w:r>
      </w:hyperlink>
      <w:r w:rsidRPr="00E27618">
        <w:rPr>
          <w:szCs w:val="28"/>
        </w:rPr>
        <w:t>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10152D" w:rsidRPr="00E27618" w:rsidRDefault="0010152D" w:rsidP="0010152D">
      <w:pPr>
        <w:shd w:val="clear" w:color="auto" w:fill="FFFFFF"/>
        <w:tabs>
          <w:tab w:val="left" w:pos="5245"/>
        </w:tabs>
        <w:spacing w:before="120" w:line="242" w:lineRule="atLeast"/>
        <w:ind w:firstLine="709"/>
        <w:jc w:val="both"/>
        <w:rPr>
          <w:bCs/>
          <w:szCs w:val="28"/>
        </w:rPr>
      </w:pPr>
      <w:r w:rsidRPr="00E27618">
        <w:rPr>
          <w:szCs w:val="28"/>
        </w:rPr>
        <w:t xml:space="preserve">В </w:t>
      </w:r>
      <w:r w:rsidRPr="00E27618">
        <w:rPr>
          <w:bCs/>
          <w:szCs w:val="28"/>
        </w:rPr>
        <w:t>2019 году</w:t>
      </w:r>
      <w:r w:rsidRPr="00E27618">
        <w:rPr>
          <w:szCs w:val="28"/>
        </w:rPr>
        <w:t xml:space="preserve"> Ульяновским УФАС России рассмотрено </w:t>
      </w:r>
      <w:r w:rsidRPr="00E27618">
        <w:rPr>
          <w:b/>
          <w:szCs w:val="28"/>
        </w:rPr>
        <w:t>24</w:t>
      </w:r>
      <w:r w:rsidRPr="00E27618">
        <w:rPr>
          <w:szCs w:val="28"/>
        </w:rPr>
        <w:t xml:space="preserve"> дела об административном правонарушении по </w:t>
      </w:r>
      <w:r w:rsidRPr="00E27618">
        <w:rPr>
          <w:rFonts w:eastAsia="Calibri"/>
          <w:szCs w:val="28"/>
        </w:rPr>
        <w:t xml:space="preserve">ст. 14.3 КоАП РФ (в 2018 году было 27 дел), в том числе </w:t>
      </w:r>
      <w:r w:rsidRPr="00E27618">
        <w:rPr>
          <w:rFonts w:eastAsia="Calibri"/>
          <w:b/>
          <w:szCs w:val="28"/>
        </w:rPr>
        <w:t>3</w:t>
      </w:r>
      <w:r w:rsidRPr="00E27618">
        <w:rPr>
          <w:rFonts w:eastAsia="Calibri"/>
          <w:szCs w:val="28"/>
        </w:rPr>
        <w:t xml:space="preserve"> - по постановлениям органов прокуратуры.  По результатам рассмотрения дел вынесено </w:t>
      </w:r>
      <w:r w:rsidRPr="00E27618">
        <w:rPr>
          <w:rFonts w:eastAsia="Calibri"/>
          <w:b/>
          <w:szCs w:val="28"/>
        </w:rPr>
        <w:t>16</w:t>
      </w:r>
      <w:r w:rsidRPr="00E27618">
        <w:rPr>
          <w:rFonts w:eastAsia="Calibri"/>
          <w:szCs w:val="28"/>
        </w:rPr>
        <w:t xml:space="preserve"> предупреждений (в 2018 году было 12), </w:t>
      </w:r>
      <w:r w:rsidRPr="00E27618">
        <w:rPr>
          <w:rFonts w:eastAsia="Calibri"/>
          <w:b/>
          <w:szCs w:val="28"/>
        </w:rPr>
        <w:t>8</w:t>
      </w:r>
      <w:r w:rsidRPr="00E27618">
        <w:rPr>
          <w:rFonts w:eastAsia="Calibri"/>
          <w:szCs w:val="28"/>
        </w:rPr>
        <w:t xml:space="preserve"> постановлений о назначении административного штрафа (в 2018 году было также 8). </w:t>
      </w:r>
      <w:r w:rsidRPr="00E27618">
        <w:rPr>
          <w:bCs/>
          <w:szCs w:val="28"/>
        </w:rPr>
        <w:t xml:space="preserve"> Общая сумма штрафов, назначенных </w:t>
      </w:r>
      <w:r w:rsidRPr="00E27618">
        <w:rPr>
          <w:szCs w:val="28"/>
        </w:rPr>
        <w:t xml:space="preserve">по </w:t>
      </w:r>
      <w:r w:rsidRPr="00E27618">
        <w:rPr>
          <w:rFonts w:eastAsia="Calibri"/>
          <w:szCs w:val="28"/>
        </w:rPr>
        <w:t>ст. 14.3 КоАП РФ</w:t>
      </w:r>
      <w:r w:rsidRPr="00E27618">
        <w:rPr>
          <w:bCs/>
          <w:szCs w:val="28"/>
        </w:rPr>
        <w:t xml:space="preserve"> составила </w:t>
      </w:r>
      <w:r w:rsidRPr="00E27618">
        <w:rPr>
          <w:b/>
          <w:bCs/>
          <w:szCs w:val="28"/>
        </w:rPr>
        <w:t>89 000 руб.</w:t>
      </w:r>
      <w:r w:rsidRPr="00E27618">
        <w:rPr>
          <w:bCs/>
          <w:szCs w:val="28"/>
        </w:rPr>
        <w:t xml:space="preserve">, оплачено штрафов на общую сумму </w:t>
      </w:r>
      <w:r w:rsidRPr="00E27618">
        <w:rPr>
          <w:b/>
          <w:bCs/>
          <w:szCs w:val="28"/>
        </w:rPr>
        <w:t>97 000 руб.</w:t>
      </w:r>
      <w:r w:rsidRPr="00E27618">
        <w:rPr>
          <w:bCs/>
          <w:szCs w:val="28"/>
        </w:rPr>
        <w:t xml:space="preserve"> - с учетом постановлений, вынесенных в предыдущие периоды (в 2018 году - 66 000 и 42 000 руб., соответственно).</w:t>
      </w:r>
    </w:p>
    <w:p w:rsidR="0010152D" w:rsidRPr="00E27618" w:rsidRDefault="0010152D" w:rsidP="0010152D">
      <w:pPr>
        <w:tabs>
          <w:tab w:val="left" w:pos="5245"/>
        </w:tabs>
        <w:ind w:firstLine="709"/>
        <w:jc w:val="both"/>
        <w:rPr>
          <w:szCs w:val="28"/>
        </w:rPr>
      </w:pPr>
    </w:p>
    <w:p w:rsidR="0010152D" w:rsidRPr="00E27618" w:rsidRDefault="0010152D" w:rsidP="0010152D">
      <w:pPr>
        <w:tabs>
          <w:tab w:val="left" w:pos="5245"/>
        </w:tabs>
        <w:ind w:right="-6" w:firstLine="709"/>
        <w:jc w:val="center"/>
        <w:rPr>
          <w:b/>
          <w:szCs w:val="28"/>
          <w:u w:val="single"/>
        </w:rPr>
      </w:pPr>
      <w:r w:rsidRPr="00E27618">
        <w:rPr>
          <w:b/>
          <w:szCs w:val="28"/>
          <w:u w:val="single"/>
        </w:rPr>
        <w:t>Контроль антимонопольного законодательства на финансовых рынках</w:t>
      </w:r>
    </w:p>
    <w:p w:rsidR="0010152D" w:rsidRPr="00E27618" w:rsidRDefault="0010152D" w:rsidP="0010152D">
      <w:pPr>
        <w:tabs>
          <w:tab w:val="left" w:pos="5245"/>
        </w:tabs>
        <w:autoSpaceDE w:val="0"/>
        <w:autoSpaceDN w:val="0"/>
        <w:adjustRightInd w:val="0"/>
        <w:spacing w:before="240"/>
        <w:ind w:right="-6" w:firstLine="720"/>
        <w:jc w:val="both"/>
        <w:rPr>
          <w:szCs w:val="28"/>
        </w:rPr>
      </w:pPr>
      <w:r w:rsidRPr="00E27618">
        <w:rPr>
          <w:szCs w:val="28"/>
        </w:rPr>
        <w:t xml:space="preserve">Ульяновское УФАС России обращает внимание на то, что вопросы разрешения споров, связанных с исполнением договоров обязательного страхования гражданской ответственности владельцев транспортных средств (ОСАГО), заключенных с гражданами, в том числе в части выплат по ним, не входят в полномочия антимонопольных органов Российской Федерации.  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w:t>
      </w:r>
      <w:r w:rsidRPr="00E27618">
        <w:rPr>
          <w:szCs w:val="28"/>
        </w:rPr>
        <w:lastRenderedPageBreak/>
        <w:t xml:space="preserve">заключения договоров ОСАГО, антимонопольные органы могут рассматривать на предмет наличия нарушений ч. 1 ст. 10 Федерального закона «О защите конкуренции» (злоупотребление хозяйствующим субъектом доминирующим положением).  Сфера применения ст. 10 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время (с 05.01.2016) предусматривает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w:t>
      </w:r>
      <w:r w:rsidRPr="00E27618">
        <w:rPr>
          <w:szCs w:val="28"/>
          <w:u w:val="single"/>
        </w:rPr>
        <w:t>в сфере предпринимательской деятельности либо неопределенного круга потребителей</w:t>
      </w:r>
      <w:r w:rsidRPr="00E27618">
        <w:rPr>
          <w:szCs w:val="28"/>
        </w:rPr>
        <w:t>.  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
    <w:p w:rsidR="00CD781A" w:rsidRDefault="00CD781A" w:rsidP="0010152D">
      <w:pPr>
        <w:jc w:val="center"/>
        <w:rPr>
          <w:b/>
          <w:szCs w:val="28"/>
        </w:rPr>
      </w:pPr>
    </w:p>
    <w:sectPr w:rsidR="00CD781A" w:rsidSect="00E95E82">
      <w:footerReference w:type="default" r:id="rId41"/>
      <w:pgSz w:w="11906" w:h="16838"/>
      <w:pgMar w:top="993"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90" w:rsidRDefault="00626E90" w:rsidP="00E90A79">
      <w:r>
        <w:separator/>
      </w:r>
    </w:p>
  </w:endnote>
  <w:endnote w:type="continuationSeparator" w:id="0">
    <w:p w:rsidR="00626E90" w:rsidRDefault="00626E90" w:rsidP="00E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411795"/>
      <w:docPartObj>
        <w:docPartGallery w:val="Page Numbers (Bottom of Page)"/>
        <w:docPartUnique/>
      </w:docPartObj>
    </w:sdtPr>
    <w:sdtEndPr/>
    <w:sdtContent>
      <w:p w:rsidR="00626E90" w:rsidRDefault="00626E90">
        <w:pPr>
          <w:pStyle w:val="af0"/>
          <w:jc w:val="right"/>
        </w:pPr>
        <w:r>
          <w:rPr>
            <w:noProof/>
          </w:rPr>
          <w:fldChar w:fldCharType="begin"/>
        </w:r>
        <w:r>
          <w:rPr>
            <w:noProof/>
          </w:rPr>
          <w:instrText xml:space="preserve"> PAGE   \* MERGEFORMAT </w:instrText>
        </w:r>
        <w:r>
          <w:rPr>
            <w:noProof/>
          </w:rPr>
          <w:fldChar w:fldCharType="separate"/>
        </w:r>
        <w:r w:rsidR="005B2017">
          <w:rPr>
            <w:noProof/>
          </w:rPr>
          <w:t>23</w:t>
        </w:r>
        <w:r>
          <w:rPr>
            <w:noProof/>
          </w:rPr>
          <w:fldChar w:fldCharType="end"/>
        </w:r>
      </w:p>
    </w:sdtContent>
  </w:sdt>
  <w:p w:rsidR="00626E90" w:rsidRDefault="00626E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90" w:rsidRDefault="00626E90" w:rsidP="00E90A79">
      <w:r>
        <w:separator/>
      </w:r>
    </w:p>
  </w:footnote>
  <w:footnote w:type="continuationSeparator" w:id="0">
    <w:p w:rsidR="00626E90" w:rsidRDefault="00626E90" w:rsidP="00E90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2CA0"/>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C42F3B"/>
    <w:multiLevelType w:val="hybridMultilevel"/>
    <w:tmpl w:val="E29C25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E61FFF"/>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F757987"/>
    <w:multiLevelType w:val="hybridMultilevel"/>
    <w:tmpl w:val="6C36BE40"/>
    <w:lvl w:ilvl="0" w:tplc="2C3454F2">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6BBE3665"/>
    <w:multiLevelType w:val="hybridMultilevel"/>
    <w:tmpl w:val="F510F59E"/>
    <w:lvl w:ilvl="0" w:tplc="1BA4B91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91D"/>
    <w:rsid w:val="00004653"/>
    <w:rsid w:val="000129C5"/>
    <w:rsid w:val="00026D3C"/>
    <w:rsid w:val="00032980"/>
    <w:rsid w:val="000436C3"/>
    <w:rsid w:val="00064926"/>
    <w:rsid w:val="0007134C"/>
    <w:rsid w:val="000759F1"/>
    <w:rsid w:val="000770F1"/>
    <w:rsid w:val="000771A8"/>
    <w:rsid w:val="0009036D"/>
    <w:rsid w:val="00093850"/>
    <w:rsid w:val="0009492A"/>
    <w:rsid w:val="000A20CA"/>
    <w:rsid w:val="000A5AE7"/>
    <w:rsid w:val="000D03D6"/>
    <w:rsid w:val="000D5818"/>
    <w:rsid w:val="000F1A3A"/>
    <w:rsid w:val="0010152D"/>
    <w:rsid w:val="00155614"/>
    <w:rsid w:val="00155A3F"/>
    <w:rsid w:val="00180257"/>
    <w:rsid w:val="00181BEA"/>
    <w:rsid w:val="00184600"/>
    <w:rsid w:val="001A68EA"/>
    <w:rsid w:val="001B4B74"/>
    <w:rsid w:val="001C097A"/>
    <w:rsid w:val="001C5DBC"/>
    <w:rsid w:val="0020709F"/>
    <w:rsid w:val="00235ED5"/>
    <w:rsid w:val="002448F9"/>
    <w:rsid w:val="00263EE9"/>
    <w:rsid w:val="002655FF"/>
    <w:rsid w:val="00292F4F"/>
    <w:rsid w:val="002C1A62"/>
    <w:rsid w:val="002D473F"/>
    <w:rsid w:val="002D780C"/>
    <w:rsid w:val="002E051A"/>
    <w:rsid w:val="00302CEE"/>
    <w:rsid w:val="003039A5"/>
    <w:rsid w:val="00311B30"/>
    <w:rsid w:val="003559A0"/>
    <w:rsid w:val="00361329"/>
    <w:rsid w:val="00363953"/>
    <w:rsid w:val="0036607A"/>
    <w:rsid w:val="0038545B"/>
    <w:rsid w:val="00391F3B"/>
    <w:rsid w:val="0039371F"/>
    <w:rsid w:val="003B206A"/>
    <w:rsid w:val="003B51CB"/>
    <w:rsid w:val="003C43BD"/>
    <w:rsid w:val="003C5ADE"/>
    <w:rsid w:val="003D7897"/>
    <w:rsid w:val="003F07E0"/>
    <w:rsid w:val="003F7A92"/>
    <w:rsid w:val="0040162A"/>
    <w:rsid w:val="00402B68"/>
    <w:rsid w:val="00421BA3"/>
    <w:rsid w:val="004302C2"/>
    <w:rsid w:val="0044393D"/>
    <w:rsid w:val="00451030"/>
    <w:rsid w:val="0045651B"/>
    <w:rsid w:val="00474DBC"/>
    <w:rsid w:val="00482BF4"/>
    <w:rsid w:val="0049055C"/>
    <w:rsid w:val="00493A8B"/>
    <w:rsid w:val="004B608D"/>
    <w:rsid w:val="004D4C22"/>
    <w:rsid w:val="004E6F23"/>
    <w:rsid w:val="005005E0"/>
    <w:rsid w:val="00514633"/>
    <w:rsid w:val="00523849"/>
    <w:rsid w:val="00540D9C"/>
    <w:rsid w:val="0054171D"/>
    <w:rsid w:val="005711D9"/>
    <w:rsid w:val="00580193"/>
    <w:rsid w:val="005814EF"/>
    <w:rsid w:val="005876F4"/>
    <w:rsid w:val="00593F9F"/>
    <w:rsid w:val="005A3B9A"/>
    <w:rsid w:val="005B2017"/>
    <w:rsid w:val="005C44E2"/>
    <w:rsid w:val="00600B40"/>
    <w:rsid w:val="006074AC"/>
    <w:rsid w:val="00612242"/>
    <w:rsid w:val="00612438"/>
    <w:rsid w:val="006240DF"/>
    <w:rsid w:val="00626E90"/>
    <w:rsid w:val="00643FB3"/>
    <w:rsid w:val="0065091D"/>
    <w:rsid w:val="0065637A"/>
    <w:rsid w:val="00665211"/>
    <w:rsid w:val="00673D55"/>
    <w:rsid w:val="00686B03"/>
    <w:rsid w:val="00690B32"/>
    <w:rsid w:val="006B75F6"/>
    <w:rsid w:val="006C469D"/>
    <w:rsid w:val="006C5D58"/>
    <w:rsid w:val="00711D86"/>
    <w:rsid w:val="00732E73"/>
    <w:rsid w:val="00753884"/>
    <w:rsid w:val="007605C9"/>
    <w:rsid w:val="00796081"/>
    <w:rsid w:val="007A1DC1"/>
    <w:rsid w:val="007A4AE1"/>
    <w:rsid w:val="007A4B87"/>
    <w:rsid w:val="007A66B6"/>
    <w:rsid w:val="007E2815"/>
    <w:rsid w:val="007F1BAA"/>
    <w:rsid w:val="008055C0"/>
    <w:rsid w:val="00817D76"/>
    <w:rsid w:val="00822C76"/>
    <w:rsid w:val="0084554F"/>
    <w:rsid w:val="00861E77"/>
    <w:rsid w:val="00873DC8"/>
    <w:rsid w:val="00891DC9"/>
    <w:rsid w:val="00892246"/>
    <w:rsid w:val="008B7097"/>
    <w:rsid w:val="008D42F3"/>
    <w:rsid w:val="008E654E"/>
    <w:rsid w:val="008F2D1D"/>
    <w:rsid w:val="0091652B"/>
    <w:rsid w:val="009273C4"/>
    <w:rsid w:val="009466E8"/>
    <w:rsid w:val="00951C0F"/>
    <w:rsid w:val="00953FAD"/>
    <w:rsid w:val="00961AF0"/>
    <w:rsid w:val="00970064"/>
    <w:rsid w:val="0099044C"/>
    <w:rsid w:val="00990598"/>
    <w:rsid w:val="009A086B"/>
    <w:rsid w:val="009B2882"/>
    <w:rsid w:val="009C00CE"/>
    <w:rsid w:val="009D0C91"/>
    <w:rsid w:val="009F396A"/>
    <w:rsid w:val="00A06279"/>
    <w:rsid w:val="00A12452"/>
    <w:rsid w:val="00A472B5"/>
    <w:rsid w:val="00A526C3"/>
    <w:rsid w:val="00A543AE"/>
    <w:rsid w:val="00A552F3"/>
    <w:rsid w:val="00AA6A9F"/>
    <w:rsid w:val="00AD31D8"/>
    <w:rsid w:val="00AD7B20"/>
    <w:rsid w:val="00AE3337"/>
    <w:rsid w:val="00AF2CC6"/>
    <w:rsid w:val="00AF6600"/>
    <w:rsid w:val="00B07F62"/>
    <w:rsid w:val="00B128C7"/>
    <w:rsid w:val="00B12C5A"/>
    <w:rsid w:val="00B27395"/>
    <w:rsid w:val="00B30BE2"/>
    <w:rsid w:val="00B416CE"/>
    <w:rsid w:val="00B41E3D"/>
    <w:rsid w:val="00B437D2"/>
    <w:rsid w:val="00B4533A"/>
    <w:rsid w:val="00B57B82"/>
    <w:rsid w:val="00B6600A"/>
    <w:rsid w:val="00B7064D"/>
    <w:rsid w:val="00B806F8"/>
    <w:rsid w:val="00B911B5"/>
    <w:rsid w:val="00BB65F6"/>
    <w:rsid w:val="00BC1712"/>
    <w:rsid w:val="00BE3AC5"/>
    <w:rsid w:val="00BF5744"/>
    <w:rsid w:val="00C018F4"/>
    <w:rsid w:val="00C0517D"/>
    <w:rsid w:val="00C36E6E"/>
    <w:rsid w:val="00C42691"/>
    <w:rsid w:val="00C4462B"/>
    <w:rsid w:val="00C453FC"/>
    <w:rsid w:val="00C45EF6"/>
    <w:rsid w:val="00C5058C"/>
    <w:rsid w:val="00C505FB"/>
    <w:rsid w:val="00C50EC5"/>
    <w:rsid w:val="00C6227F"/>
    <w:rsid w:val="00C64964"/>
    <w:rsid w:val="00C97B2C"/>
    <w:rsid w:val="00CC0071"/>
    <w:rsid w:val="00CD781A"/>
    <w:rsid w:val="00D073D5"/>
    <w:rsid w:val="00D170BB"/>
    <w:rsid w:val="00D35AF9"/>
    <w:rsid w:val="00D45220"/>
    <w:rsid w:val="00D86564"/>
    <w:rsid w:val="00D96B93"/>
    <w:rsid w:val="00DB43F3"/>
    <w:rsid w:val="00DB4E6E"/>
    <w:rsid w:val="00DD2A1B"/>
    <w:rsid w:val="00DF6CB8"/>
    <w:rsid w:val="00E11C21"/>
    <w:rsid w:val="00E26ECB"/>
    <w:rsid w:val="00E36D9E"/>
    <w:rsid w:val="00E4189B"/>
    <w:rsid w:val="00E4551F"/>
    <w:rsid w:val="00E57187"/>
    <w:rsid w:val="00E700D6"/>
    <w:rsid w:val="00E739BE"/>
    <w:rsid w:val="00E824A9"/>
    <w:rsid w:val="00E90A79"/>
    <w:rsid w:val="00E942AC"/>
    <w:rsid w:val="00E95E82"/>
    <w:rsid w:val="00E96D5D"/>
    <w:rsid w:val="00EA2F02"/>
    <w:rsid w:val="00EB3C4B"/>
    <w:rsid w:val="00EB41AE"/>
    <w:rsid w:val="00EC4AD1"/>
    <w:rsid w:val="00EC65F1"/>
    <w:rsid w:val="00ED3842"/>
    <w:rsid w:val="00F00742"/>
    <w:rsid w:val="00F05B52"/>
    <w:rsid w:val="00F13B44"/>
    <w:rsid w:val="00F30361"/>
    <w:rsid w:val="00F42488"/>
    <w:rsid w:val="00F44E55"/>
    <w:rsid w:val="00FB15CA"/>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8033A-6F05-4BC1-A2EA-2785D9E9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link w:val="ConsPlusNormal0"/>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 w:type="character" w:styleId="af6">
    <w:name w:val="Strong"/>
    <w:basedOn w:val="a0"/>
    <w:uiPriority w:val="22"/>
    <w:qFormat/>
    <w:rsid w:val="00643FB3"/>
    <w:rPr>
      <w:b/>
      <w:bCs/>
    </w:rPr>
  </w:style>
  <w:style w:type="character" w:customStyle="1" w:styleId="12">
    <w:name w:val="Основной текст Знак1"/>
    <w:uiPriority w:val="99"/>
    <w:rsid w:val="003F7A92"/>
    <w:rPr>
      <w:rFonts w:ascii="Sylfaen" w:hAnsi="Sylfaen" w:cs="Sylfaen" w:hint="default"/>
      <w:strike w:val="0"/>
      <w:dstrike w:val="0"/>
      <w:u w:val="none"/>
      <w:effect w:val="none"/>
    </w:rPr>
  </w:style>
  <w:style w:type="character" w:customStyle="1" w:styleId="ConsPlusNormal0">
    <w:name w:val="ConsPlusNormal Знак"/>
    <w:link w:val="ConsPlusNormal"/>
    <w:locked/>
    <w:rsid w:val="003F7A92"/>
    <w:rPr>
      <w:rFonts w:ascii="Arial" w:hAnsi="Arial" w:cs="Arial"/>
      <w:sz w:val="20"/>
      <w:szCs w:val="20"/>
    </w:rPr>
  </w:style>
  <w:style w:type="paragraph" w:styleId="32">
    <w:name w:val="Body Text 3"/>
    <w:basedOn w:val="a"/>
    <w:link w:val="33"/>
    <w:unhideWhenUsed/>
    <w:rsid w:val="00451030"/>
    <w:pPr>
      <w:spacing w:after="120"/>
    </w:pPr>
    <w:rPr>
      <w:sz w:val="16"/>
      <w:szCs w:val="16"/>
    </w:rPr>
  </w:style>
  <w:style w:type="character" w:customStyle="1" w:styleId="33">
    <w:name w:val="Основной текст 3 Знак"/>
    <w:basedOn w:val="a0"/>
    <w:link w:val="32"/>
    <w:rsid w:val="00451030"/>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451030"/>
    <w:pPr>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45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680">
      <w:bodyDiv w:val="1"/>
      <w:marLeft w:val="0"/>
      <w:marRight w:val="0"/>
      <w:marTop w:val="0"/>
      <w:marBottom w:val="0"/>
      <w:divBdr>
        <w:top w:val="none" w:sz="0" w:space="0" w:color="auto"/>
        <w:left w:val="none" w:sz="0" w:space="0" w:color="auto"/>
        <w:bottom w:val="none" w:sz="0" w:space="0" w:color="auto"/>
        <w:right w:val="none" w:sz="0" w:space="0" w:color="auto"/>
      </w:divBdr>
    </w:div>
    <w:div w:id="271136102">
      <w:bodyDiv w:val="1"/>
      <w:marLeft w:val="0"/>
      <w:marRight w:val="0"/>
      <w:marTop w:val="0"/>
      <w:marBottom w:val="0"/>
      <w:divBdr>
        <w:top w:val="none" w:sz="0" w:space="0" w:color="auto"/>
        <w:left w:val="none" w:sz="0" w:space="0" w:color="auto"/>
        <w:bottom w:val="none" w:sz="0" w:space="0" w:color="auto"/>
        <w:right w:val="none" w:sz="0" w:space="0" w:color="auto"/>
      </w:divBdr>
      <w:divsChild>
        <w:div w:id="1610429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4141980">
      <w:bodyDiv w:val="1"/>
      <w:marLeft w:val="0"/>
      <w:marRight w:val="0"/>
      <w:marTop w:val="0"/>
      <w:marBottom w:val="0"/>
      <w:divBdr>
        <w:top w:val="none" w:sz="0" w:space="0" w:color="auto"/>
        <w:left w:val="none" w:sz="0" w:space="0" w:color="auto"/>
        <w:bottom w:val="none" w:sz="0" w:space="0" w:color="auto"/>
        <w:right w:val="none" w:sz="0" w:space="0" w:color="auto"/>
      </w:divBdr>
    </w:div>
    <w:div w:id="525489012">
      <w:bodyDiv w:val="1"/>
      <w:marLeft w:val="0"/>
      <w:marRight w:val="0"/>
      <w:marTop w:val="0"/>
      <w:marBottom w:val="0"/>
      <w:divBdr>
        <w:top w:val="none" w:sz="0" w:space="0" w:color="auto"/>
        <w:left w:val="none" w:sz="0" w:space="0" w:color="auto"/>
        <w:bottom w:val="none" w:sz="0" w:space="0" w:color="auto"/>
        <w:right w:val="none" w:sz="0" w:space="0" w:color="auto"/>
      </w:divBdr>
    </w:div>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08510611">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892884400">
      <w:bodyDiv w:val="1"/>
      <w:marLeft w:val="0"/>
      <w:marRight w:val="0"/>
      <w:marTop w:val="0"/>
      <w:marBottom w:val="0"/>
      <w:divBdr>
        <w:top w:val="none" w:sz="0" w:space="0" w:color="auto"/>
        <w:left w:val="none" w:sz="0" w:space="0" w:color="auto"/>
        <w:bottom w:val="none" w:sz="0" w:space="0" w:color="auto"/>
        <w:right w:val="none" w:sz="0" w:space="0" w:color="auto"/>
      </w:divBdr>
    </w:div>
    <w:div w:id="100775534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173840187">
      <w:bodyDiv w:val="1"/>
      <w:marLeft w:val="0"/>
      <w:marRight w:val="0"/>
      <w:marTop w:val="0"/>
      <w:marBottom w:val="0"/>
      <w:divBdr>
        <w:top w:val="none" w:sz="0" w:space="0" w:color="auto"/>
        <w:left w:val="none" w:sz="0" w:space="0" w:color="auto"/>
        <w:bottom w:val="none" w:sz="0" w:space="0" w:color="auto"/>
        <w:right w:val="none" w:sz="0" w:space="0" w:color="auto"/>
      </w:divBdr>
    </w:div>
    <w:div w:id="1403330212">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63332929">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1932465575">
      <w:bodyDiv w:val="1"/>
      <w:marLeft w:val="0"/>
      <w:marRight w:val="0"/>
      <w:marTop w:val="0"/>
      <w:marBottom w:val="0"/>
      <w:divBdr>
        <w:top w:val="none" w:sz="0" w:space="0" w:color="auto"/>
        <w:left w:val="none" w:sz="0" w:space="0" w:color="auto"/>
        <w:bottom w:val="none" w:sz="0" w:space="0" w:color="auto"/>
        <w:right w:val="none" w:sz="0" w:space="0" w:color="auto"/>
      </w:divBdr>
    </w:div>
    <w:div w:id="2050491718">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A65EBFA590E9EB67DFC9D30B41637D7A94E87DEB86B1B7A14AA2CEE57423CF539301089F9B483147F834FFBDC5C0D299D635F81BD629BEH1zDF" TargetMode="External"/><Relationship Id="rId18" Type="http://schemas.openxmlformats.org/officeDocument/2006/relationships/hyperlink" Target="consultantplus://offline/ref=48A65EBFA590E9EB67DFC9D30B41637D7A93EB77E480B1B7A14AA2CEE57423CF419359049F9F543141ED62AEFBH9z0F" TargetMode="External"/><Relationship Id="rId26" Type="http://schemas.openxmlformats.org/officeDocument/2006/relationships/hyperlink" Target="http://www.consultant.ru/document/cons_doc_LAW_296536/e8e8c98df722e05999230271e054b6a1f6f70f80/" TargetMode="External"/><Relationship Id="rId39" Type="http://schemas.openxmlformats.org/officeDocument/2006/relationships/hyperlink" Target="http://www.consultant.ru/document/cons_doc_LAW_301686/b7c3bd86e24ff0c13e71cd2ee17558d46843e609/" TargetMode="External"/><Relationship Id="rId21" Type="http://schemas.openxmlformats.org/officeDocument/2006/relationships/hyperlink" Target="http://www.consultant.ru/document/cons_doc_LAW_299554/ded38b9cffde11547d077bf230bc25a69a790fb8/" TargetMode="External"/><Relationship Id="rId34" Type="http://schemas.openxmlformats.org/officeDocument/2006/relationships/hyperlink" Target="http://www.consultant.ru/document/cons_doc_LAW_289340/a485178e3a0feb6ac05c6dc4cd23f274511dbaa9/"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8A65EBFA590E9EB67DFC9D30B41637D7A93EB77E480B1B7A14AA2CEE57423CF419359049F9F543141ED62AEFBH9z0F" TargetMode="External"/><Relationship Id="rId20" Type="http://schemas.openxmlformats.org/officeDocument/2006/relationships/hyperlink" Target="http://www.consultant.ru/document/cons_doc_LAW_299554/bf50f80f57ae7cfdb4e8c17989214b155903c49c/" TargetMode="External"/><Relationship Id="rId29" Type="http://schemas.openxmlformats.org/officeDocument/2006/relationships/hyperlink" Target="http://www.consultant.ru/document/cons_doc_LAW_289340/c5271b02d1c5c33ab86d5671862b0cf8a49cbfb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A65EBFA590E9EB67DFC9D30B41637D7A94E87DEB86B1B7A14AA2CEE57423CF419359049F9F543141ED62AEFBH9z0F" TargetMode="External"/><Relationship Id="rId24" Type="http://schemas.openxmlformats.org/officeDocument/2006/relationships/hyperlink" Target="http://www.consultant.ru/document/cons_doc_LAW_299554/45109653d22ae0c01feb397efa3c8d39e1666592/" TargetMode="External"/><Relationship Id="rId32" Type="http://schemas.openxmlformats.org/officeDocument/2006/relationships/hyperlink" Target="http://www.consultant.ru/document/cons_doc_LAW_289340/2d50fc1c4013ea9ab20b8b2666c1650b1dc4c982/" TargetMode="External"/><Relationship Id="rId37" Type="http://schemas.openxmlformats.org/officeDocument/2006/relationships/hyperlink" Target="http://www.consultant.ru/document/cons_doc_LAW_289340/a4619238c03960c05ecbbba38fef2646e511b7a3/" TargetMode="External"/><Relationship Id="rId40" Type="http://schemas.openxmlformats.org/officeDocument/2006/relationships/hyperlink" Target="http://www.consultant.ru/document/cons_doc_LAW_34661/af22f6ab34d6816e5a70f14347081e2c1bfce662/" TargetMode="External"/><Relationship Id="rId5" Type="http://schemas.openxmlformats.org/officeDocument/2006/relationships/webSettings" Target="webSettings.xml"/><Relationship Id="rId15" Type="http://schemas.openxmlformats.org/officeDocument/2006/relationships/hyperlink" Target="consultantplus://offline/ref=48A65EBFA590E9EB67DFC9D30B41637D7A93EB76E585B1B7A14AA2CEE57423CF539301089D9B4A3043F834FFBDC5C0D299D635F81BD629BEH1zDF" TargetMode="External"/><Relationship Id="rId23" Type="http://schemas.openxmlformats.org/officeDocument/2006/relationships/hyperlink" Target="http://www.consultant.ru/document/cons_doc_LAW_299554/d06455e66edc723bfa738f51405a66d29b1b45ab/" TargetMode="External"/><Relationship Id="rId28" Type="http://schemas.openxmlformats.org/officeDocument/2006/relationships/hyperlink" Target="http://www.consultant.ru/document/cons_doc_LAW_289340/d62e8fe6e7ccc035c7ef846b7068f43f9182d5d7/" TargetMode="External"/><Relationship Id="rId36" Type="http://schemas.openxmlformats.org/officeDocument/2006/relationships/hyperlink" Target="http://www.consultant.ru/document/cons_doc_LAW_289340/73039275cf79d3d4e0842cdf150f85cce8bcb200/" TargetMode="External"/><Relationship Id="rId10" Type="http://schemas.openxmlformats.org/officeDocument/2006/relationships/hyperlink" Target="consultantplus://offline/ref=E42C3DF715E48695C0FA105A9C22CD41C6EC27AD9D92718BBFD8040EFD010CE92E590B4F88F7F453A2783AD183B7AEC284B50449F1CCD517q41CF" TargetMode="External"/><Relationship Id="rId19" Type="http://schemas.openxmlformats.org/officeDocument/2006/relationships/hyperlink" Target="consultantplus://offline/ref=48A65EBFA590E9EB67DFC9D30B41637D7A93EB76E585B1B7A14AA2CEE57423CF539301089D9B4A3044F834FFBDC5C0D299D635F81BD629BEH1zDF" TargetMode="External"/><Relationship Id="rId31" Type="http://schemas.openxmlformats.org/officeDocument/2006/relationships/hyperlink" Target="consultantplus://offline/ref=74F3D2F615C47546AE11B8D03C7FFDBACF4B33326B4E2733B88B38177B7CCC915204F711F0180FFE9B011F1751ACD898C77FE56A5EHB2FH" TargetMode="External"/><Relationship Id="rId4" Type="http://schemas.openxmlformats.org/officeDocument/2006/relationships/settings" Target="settings.xml"/><Relationship Id="rId9" Type="http://schemas.openxmlformats.org/officeDocument/2006/relationships/hyperlink" Target="consultantplus://offline/ref=48A65EBFA590E9EB67DFC9D30B41637D7A93EB76E585B1B7A14AA2CEE57423CF419359049F9F543141ED62AEFBH9z0F" TargetMode="External"/><Relationship Id="rId14" Type="http://schemas.openxmlformats.org/officeDocument/2006/relationships/hyperlink" Target="consultantplus://offline/ref=48A65EBFA590E9EB67DFC9D30B41637D7A94E87DEB86B1B7A14AA2CEE57423CF539301089F9E423247F834FFBDC5C0D299D635F81BD629BEH1zDF" TargetMode="External"/><Relationship Id="rId22" Type="http://schemas.openxmlformats.org/officeDocument/2006/relationships/hyperlink" Target="http://www.consultant.ru/document/cons_doc_LAW_299554/adf3179c97539872bf842255d71da198c041c984/" TargetMode="External"/><Relationship Id="rId27" Type="http://schemas.openxmlformats.org/officeDocument/2006/relationships/hyperlink" Target="http://www.consultant.ru/document/cons_doc_LAW_289340/2d50fc1c4013ea9ab20b8b2666c1650b1dc4c982/" TargetMode="External"/><Relationship Id="rId30" Type="http://schemas.openxmlformats.org/officeDocument/2006/relationships/hyperlink" Target="http://www.consultant.ru/document/cons_doc_LAW_137349/" TargetMode="External"/><Relationship Id="rId35" Type="http://schemas.openxmlformats.org/officeDocument/2006/relationships/hyperlink" Target="http://www.consultant.ru/document/cons_doc_LAW_289340/a418f1fe61b054b64b9e49521821ee74e8cf22e8/" TargetMode="External"/><Relationship Id="rId43" Type="http://schemas.openxmlformats.org/officeDocument/2006/relationships/theme" Target="theme/theme1.xml"/><Relationship Id="rId8" Type="http://schemas.openxmlformats.org/officeDocument/2006/relationships/hyperlink" Target="consultantplus://offline/ref=48A65EBFA590E9EB67DFC9D30B41637D7A93EB76E585B1B7A14AA2CEE57423CF419359049F9F543141ED62AEFBH9z0F" TargetMode="External"/><Relationship Id="rId3" Type="http://schemas.openxmlformats.org/officeDocument/2006/relationships/styles" Target="styles.xml"/><Relationship Id="rId12" Type="http://schemas.openxmlformats.org/officeDocument/2006/relationships/hyperlink" Target="consultantplus://offline/ref=48A65EBFA590E9EB67DFC9D30B41637D7A94E87DEB86B1B7A14AA2CEE57423CF539301089F9B4A3243F834FFBDC5C0D299D635F81BD629BEH1zDF" TargetMode="External"/><Relationship Id="rId17" Type="http://schemas.openxmlformats.org/officeDocument/2006/relationships/hyperlink" Target="consultantplus://offline/ref=48A65EBFA590E9EB67DFC9D30B41637D7A94E973E485B1B7A14AA2CEE57423CF419359049F9F543141ED62AEFBH9z0F" TargetMode="External"/><Relationship Id="rId25" Type="http://schemas.openxmlformats.org/officeDocument/2006/relationships/hyperlink" Target="http://www.consultant.ru/document/cons_doc_LAW_299554/adf3179c97539872bf842255d71da198c041c984/" TargetMode="External"/><Relationship Id="rId33" Type="http://schemas.openxmlformats.org/officeDocument/2006/relationships/hyperlink" Target="http://www.consultant.ru/document/cons_doc_LAW_289340/2d50fc1c4013ea9ab20b8b2666c1650b1dc4c982/" TargetMode="External"/><Relationship Id="rId38" Type="http://schemas.openxmlformats.org/officeDocument/2006/relationships/hyperlink" Target="http://www.consultant.ru/document/cons_doc_LAW_286894/f68afc90fd06f2e62b3e3cb45714c287c5e44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D2E4A-B8B0-45C4-A3C0-02DA8328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37</Pages>
  <Words>11975</Words>
  <Characters>68263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Александровна Россейкина</cp:lastModifiedBy>
  <cp:revision>94</cp:revision>
  <cp:lastPrinted>2020-01-28T05:17:00Z</cp:lastPrinted>
  <dcterms:created xsi:type="dcterms:W3CDTF">2018-01-25T04:55:00Z</dcterms:created>
  <dcterms:modified xsi:type="dcterms:W3CDTF">2020-02-10T08:57:00Z</dcterms:modified>
</cp:coreProperties>
</file>